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00AC" w:rsidRDefault="00BE00AC" w:rsidP="00BE00AC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СТРУКТУРА СРНС</w:t>
      </w:r>
    </w:p>
    <w:p w:rsidR="00BE00AC" w:rsidRDefault="00BE00AC" w:rsidP="00BE00AC">
      <w:pPr>
        <w:ind w:firstLine="708"/>
        <w:jc w:val="center"/>
        <w:rPr>
          <w:sz w:val="28"/>
          <w:szCs w:val="28"/>
          <w:highlight w:val="magenta"/>
        </w:rPr>
      </w:pPr>
    </w:p>
    <w:p w:rsidR="00BE00AC" w:rsidRDefault="00BE00AC" w:rsidP="00BE00AC">
      <w:pPr>
        <w:ind w:firstLine="708"/>
        <w:jc w:val="center"/>
        <w:rPr>
          <w:b/>
          <w:sz w:val="28"/>
          <w:szCs w:val="28"/>
        </w:rPr>
      </w:pPr>
      <w:r w:rsidRPr="00E14BC8">
        <w:rPr>
          <w:b/>
          <w:sz w:val="28"/>
          <w:szCs w:val="28"/>
        </w:rPr>
        <w:t>3.1 Общие сведения об СРНС</w:t>
      </w:r>
    </w:p>
    <w:p w:rsidR="00BE00AC" w:rsidRDefault="00BE00AC" w:rsidP="00BE00AC">
      <w:pPr>
        <w:ind w:firstLine="708"/>
        <w:jc w:val="center"/>
        <w:rPr>
          <w:b/>
          <w:sz w:val="28"/>
          <w:szCs w:val="28"/>
        </w:rPr>
      </w:pP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E14BC8">
        <w:rPr>
          <w:sz w:val="28"/>
          <w:szCs w:val="28"/>
        </w:rPr>
        <w:t xml:space="preserve">Американская и </w:t>
      </w:r>
      <w:r>
        <w:rPr>
          <w:sz w:val="28"/>
          <w:szCs w:val="28"/>
        </w:rPr>
        <w:t>р</w:t>
      </w:r>
      <w:r w:rsidRPr="00E14BC8">
        <w:rPr>
          <w:sz w:val="28"/>
          <w:szCs w:val="28"/>
        </w:rPr>
        <w:t>оссийская</w:t>
      </w:r>
      <w:r>
        <w:rPr>
          <w:sz w:val="28"/>
          <w:szCs w:val="28"/>
        </w:rPr>
        <w:t xml:space="preserve"> спутниковые радионавигационные системы </w:t>
      </w:r>
      <w:r>
        <w:rPr>
          <w:sz w:val="28"/>
          <w:szCs w:val="28"/>
          <w:lang w:val="en-US"/>
        </w:rPr>
        <w:t>GPS</w:t>
      </w:r>
      <w:r w:rsidRPr="00E14BC8"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NAVSTAR</w:t>
      </w:r>
      <w:r w:rsidRPr="00E14BC8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и ГЛОНАСС пришли на смену навигационным </w:t>
      </w:r>
      <w:r w:rsidRPr="00E14BC8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системам первого поколения </w:t>
      </w:r>
      <w:r>
        <w:rPr>
          <w:sz w:val="28"/>
          <w:szCs w:val="28"/>
          <w:lang w:val="en-US"/>
        </w:rPr>
        <w:t>TRANSIT</w:t>
      </w:r>
      <w:r>
        <w:rPr>
          <w:sz w:val="28"/>
          <w:szCs w:val="28"/>
        </w:rPr>
        <w:t xml:space="preserve"> и «Цикада».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Названия систем расшифровываются следующим образом: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−Global Positioning Systen – Глобальная система позиционирования;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- ГЛОНАСС – ГЛОбальная Навигационная Спутниковая Система.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Другое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</w:rPr>
        <w:t>название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</w:rPr>
        <w:t>системы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GPS</w:t>
      </w:r>
      <w:r w:rsidRPr="006A5BE5"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NAVSTAR</w:t>
      </w:r>
      <w:r w:rsidRPr="006A5BE5">
        <w:rPr>
          <w:sz w:val="28"/>
          <w:szCs w:val="28"/>
        </w:rPr>
        <w:t xml:space="preserve">, </w:t>
      </w:r>
      <w:r>
        <w:rPr>
          <w:sz w:val="28"/>
          <w:szCs w:val="28"/>
        </w:rPr>
        <w:t>акроним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</w:rPr>
        <w:t>от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Navigation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Satellite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Timing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 w:rsidRPr="006A5BE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Ranging</w:t>
      </w:r>
      <w:r w:rsidRPr="006A5BE5">
        <w:rPr>
          <w:sz w:val="28"/>
          <w:szCs w:val="28"/>
        </w:rPr>
        <w:t>,</w:t>
      </w:r>
      <w:r>
        <w:rPr>
          <w:sz w:val="28"/>
          <w:szCs w:val="28"/>
        </w:rPr>
        <w:t xml:space="preserve"> то есть Определение времени и расстояний по навигационным спутникам.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Система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состоит из трех сегментов: 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Космического сегмента;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Контрольного сегмента;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Сегмент пользователей.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Космический сегмент представлен спутниками и космодромом, с которого они запускаются, а Контрольный сегмент имеет дело с управлением операциями спутников. Работой обоих этих сегментов управляет Министерство обороны США. За использование системы гражданскими потребителями несет ответственность Министерство транспорта США. Пользовательский сегмент охватывает деятельность, связанную с разработкой военного и гражданского пользовательского </w:t>
      </w:r>
      <w:proofErr w:type="gramStart"/>
      <w:r>
        <w:rPr>
          <w:sz w:val="28"/>
          <w:szCs w:val="28"/>
        </w:rPr>
        <w:t>оборудования  (</w:t>
      </w:r>
      <w:proofErr w:type="gramEnd"/>
      <w:r>
        <w:rPr>
          <w:sz w:val="28"/>
          <w:szCs w:val="28"/>
        </w:rPr>
        <w:t xml:space="preserve">то есть приемников). Разработка приемников и служб в гражданском секторе, в основном, принадлежит рыночным структурам </w:t>
      </w:r>
      <w:r w:rsidRPr="006C1366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ICD</w:t>
      </w:r>
      <w:r w:rsidRPr="006C1366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GPS</w:t>
      </w:r>
      <w:r w:rsidRPr="006C1366"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0C"/>
        </w:smartTagPr>
        <w:r w:rsidRPr="006C1366">
          <w:rPr>
            <w:sz w:val="28"/>
            <w:szCs w:val="28"/>
          </w:rPr>
          <w:t>200</w:t>
        </w:r>
        <w:r>
          <w:rPr>
            <w:sz w:val="28"/>
            <w:szCs w:val="28"/>
            <w:lang w:val="en-US"/>
          </w:rPr>
          <w:t>C</w:t>
        </w:r>
      </w:smartTag>
      <w:r w:rsidRPr="006C1366">
        <w:rPr>
          <w:sz w:val="28"/>
          <w:szCs w:val="28"/>
        </w:rPr>
        <w:t>, 1993]</w:t>
      </w:r>
      <w:r>
        <w:rPr>
          <w:sz w:val="28"/>
          <w:szCs w:val="28"/>
        </w:rPr>
        <w:t>.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Российская система состоит из под системы космических аппаратов (ПКА), подсистемы контроля и управления (ПКУ) и подсистемы </w:t>
      </w:r>
      <w:proofErr w:type="gramStart"/>
      <w:r>
        <w:rPr>
          <w:sz w:val="28"/>
          <w:szCs w:val="28"/>
        </w:rPr>
        <w:t>аппаратуры  пользователей</w:t>
      </w:r>
      <w:proofErr w:type="gramEnd"/>
      <w:r>
        <w:rPr>
          <w:sz w:val="28"/>
          <w:szCs w:val="28"/>
        </w:rPr>
        <w:t xml:space="preserve"> (ПАП) </w:t>
      </w:r>
      <w:r w:rsidRPr="007F7DDD">
        <w:rPr>
          <w:sz w:val="28"/>
          <w:szCs w:val="28"/>
        </w:rPr>
        <w:t>[</w:t>
      </w:r>
      <w:r>
        <w:rPr>
          <w:sz w:val="28"/>
          <w:szCs w:val="28"/>
        </w:rPr>
        <w:t>Глобальная навигационная …,2002</w:t>
      </w:r>
      <w:r w:rsidRPr="007F7DDD">
        <w:rPr>
          <w:sz w:val="28"/>
          <w:szCs w:val="28"/>
        </w:rPr>
        <w:t>]</w:t>
      </w:r>
      <w:r>
        <w:rPr>
          <w:sz w:val="28"/>
          <w:szCs w:val="28"/>
        </w:rPr>
        <w:t xml:space="preserve">. Иногда в </w:t>
      </w:r>
      <w:proofErr w:type="gramStart"/>
      <w:r>
        <w:rPr>
          <w:sz w:val="28"/>
          <w:szCs w:val="28"/>
        </w:rPr>
        <w:t>литературе  термин</w:t>
      </w:r>
      <w:proofErr w:type="gramEnd"/>
      <w:r>
        <w:rPr>
          <w:sz w:val="28"/>
          <w:szCs w:val="28"/>
        </w:rPr>
        <w:t xml:space="preserve"> «подсистема» заменяется  на термин  «сегмент» или «сектор». Система ГЛОНАСС находится под управлением Министерства Обороны РФ (Ракетные войска специального назначения, РВСН). В феврале </w:t>
      </w:r>
      <w:smartTag w:uri="urn:schemas-microsoft-com:office:smarttags" w:element="metricconverter">
        <w:smartTagPr>
          <w:attr w:name="ProductID" w:val="1999 г"/>
        </w:smartTagPr>
        <w:r>
          <w:rPr>
            <w:sz w:val="28"/>
            <w:szCs w:val="28"/>
          </w:rPr>
          <w:t>1999 г</w:t>
        </w:r>
      </w:smartTag>
      <w:r>
        <w:rPr>
          <w:sz w:val="28"/>
          <w:szCs w:val="28"/>
        </w:rPr>
        <w:t xml:space="preserve">. распоряжением президента РФ системе ГЛОНАСС придан статус системы двойного назначения (военного и гражданского). Вопросами гражданского применения системы ведет Российское авиационно-космическое агентство, а координацией вопросов развития и использования занимается Межведомственная комиссия «Интернавигация» и межведомственная оперативная группа, образованная по Постановлению Правительства РФ. Основным разработчиком по системе в целом и </w:t>
      </w:r>
      <w:proofErr w:type="gramStart"/>
      <w:r>
        <w:rPr>
          <w:sz w:val="28"/>
          <w:szCs w:val="28"/>
        </w:rPr>
        <w:t>по  космическому</w:t>
      </w:r>
      <w:proofErr w:type="gramEnd"/>
      <w:r>
        <w:rPr>
          <w:sz w:val="28"/>
          <w:szCs w:val="28"/>
        </w:rPr>
        <w:t xml:space="preserve"> сегменту является НПО прикладной механики им. Академика М.Ф. Решетнева (г. Красноярск). Разработчиком и изготовителем спутников системы ГЛОНАСС является </w:t>
      </w:r>
      <w:proofErr w:type="gramStart"/>
      <w:r>
        <w:rPr>
          <w:sz w:val="28"/>
          <w:szCs w:val="28"/>
        </w:rPr>
        <w:t>Производственное  объединение</w:t>
      </w:r>
      <w:proofErr w:type="gramEnd"/>
      <w:r>
        <w:rPr>
          <w:sz w:val="28"/>
          <w:szCs w:val="28"/>
        </w:rPr>
        <w:t xml:space="preserve"> «Полет» (ПО «Полет», г. Омск).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Основным разработчиком радиотехнических комплексов является РНИИ КП, а ответственным за состояние временного комплекса, системы синхронизации и навигационной аппаратуры потребителей (НАП) назначен Российский институт радионавигации и времени (РИРВ) </w:t>
      </w:r>
      <w:r w:rsidRPr="007F7DDD">
        <w:rPr>
          <w:sz w:val="28"/>
          <w:szCs w:val="28"/>
        </w:rPr>
        <w:t>[</w:t>
      </w:r>
      <w:r>
        <w:rPr>
          <w:sz w:val="28"/>
          <w:szCs w:val="28"/>
        </w:rPr>
        <w:t>Болдин и др., 1999; Соловьев, 2000</w:t>
      </w:r>
      <w:r w:rsidRPr="007F7DDD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E00AC" w:rsidRPr="003F706B" w:rsidRDefault="00BE00AC" w:rsidP="00BE00AC">
      <w:pPr>
        <w:tabs>
          <w:tab w:val="left" w:pos="720"/>
        </w:tabs>
        <w:ind w:firstLine="708"/>
        <w:jc w:val="center"/>
        <w:rPr>
          <w:b/>
          <w:sz w:val="28"/>
          <w:szCs w:val="28"/>
        </w:rPr>
      </w:pPr>
      <w:r w:rsidRPr="003F706B">
        <w:rPr>
          <w:b/>
          <w:sz w:val="28"/>
          <w:szCs w:val="28"/>
        </w:rPr>
        <w:t xml:space="preserve">3.2 Система </w:t>
      </w:r>
      <w:r w:rsidRPr="003F706B">
        <w:rPr>
          <w:b/>
          <w:sz w:val="28"/>
          <w:szCs w:val="28"/>
          <w:lang w:val="en-US"/>
        </w:rPr>
        <w:t>GPS</w:t>
      </w:r>
      <w:r w:rsidRPr="003F706B">
        <w:rPr>
          <w:b/>
          <w:sz w:val="28"/>
          <w:szCs w:val="28"/>
        </w:rPr>
        <w:t xml:space="preserve"> </w:t>
      </w:r>
      <w:r w:rsidRPr="003F706B">
        <w:rPr>
          <w:b/>
          <w:sz w:val="28"/>
          <w:szCs w:val="28"/>
          <w:lang w:val="en-US"/>
        </w:rPr>
        <w:t>NAVSTAR</w:t>
      </w:r>
    </w:p>
    <w:p w:rsidR="00BE00AC" w:rsidRDefault="00BE00AC" w:rsidP="00BE00AC">
      <w:pPr>
        <w:tabs>
          <w:tab w:val="left" w:pos="720"/>
        </w:tabs>
        <w:ind w:firstLine="708"/>
        <w:jc w:val="center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3.2.1 Космический сегмент </w:t>
      </w:r>
      <w:r>
        <w:rPr>
          <w:sz w:val="28"/>
          <w:szCs w:val="28"/>
          <w:lang w:val="en-US"/>
        </w:rPr>
        <w:t>GPS</w:t>
      </w:r>
    </w:p>
    <w:p w:rsidR="00BE00AC" w:rsidRDefault="00BE00AC" w:rsidP="00BE00AC">
      <w:pPr>
        <w:tabs>
          <w:tab w:val="left" w:pos="720"/>
        </w:tabs>
        <w:ind w:firstLine="708"/>
        <w:jc w:val="center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космический сегмент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входят созвездие спутников (орбитальная группировка) и космодром, с которого они запускаются. Основные функции спутников: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- прием и хранением данных, передаваемых контрольным сегментом;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- поддержание точного времени посредством нескольких бортовых атомных стандартов частоты;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передача информации и сигналов пользователю на одном или двух частотных L-диапазонах.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Орбитальная группировка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состоит из 24 спутников на почти круговых орбитах с радиусом </w:t>
      </w:r>
      <w:smartTag w:uri="urn:schemas-microsoft-com:office:smarttags" w:element="metricconverter">
        <w:smartTagPr>
          <w:attr w:name="ProductID" w:val="26 560 км"/>
        </w:smartTagPr>
        <w:r>
          <w:rPr>
            <w:sz w:val="28"/>
            <w:szCs w:val="28"/>
          </w:rPr>
          <w:t>26 560 км</w:t>
        </w:r>
      </w:smartTag>
      <w:r>
        <w:rPr>
          <w:sz w:val="28"/>
          <w:szCs w:val="28"/>
        </w:rPr>
        <w:t>, периодом около 12 часов и почти постоянными трассами. Спутники размещаются на шести орбитальных плоскостях с наклонением 55º, на четырех рабочих точках (слотах), неравномерно распределенных на каждой орбите (</w:t>
      </w:r>
      <w:proofErr w:type="gramStart"/>
      <w:r>
        <w:rPr>
          <w:sz w:val="28"/>
          <w:szCs w:val="28"/>
        </w:rPr>
        <w:t>рисунок  3.1</w:t>
      </w:r>
      <w:proofErr w:type="gramEnd"/>
      <w:r>
        <w:rPr>
          <w:sz w:val="28"/>
          <w:szCs w:val="28"/>
        </w:rPr>
        <w:t xml:space="preserve">). 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E00AC" w:rsidRPr="001C4BE9" w:rsidRDefault="00BE00AC" w:rsidP="00BE00AC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 w:rsidRPr="001C4BE9">
        <w:rPr>
          <w:noProof/>
          <w:sz w:val="28"/>
          <w:szCs w:val="28"/>
        </w:rPr>
        <w:drawing>
          <wp:inline distT="0" distB="0" distL="0" distR="0">
            <wp:extent cx="2255520" cy="2004060"/>
            <wp:effectExtent l="0" t="0" r="0" b="0"/>
            <wp:docPr id="6" name="Рисунок 6" descr="сканирование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0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12000" contrast="4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52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E00AC" w:rsidRPr="001C4BE9" w:rsidRDefault="00BE00AC" w:rsidP="00BE00AC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3.1 – Орбитальная группировка </w:t>
      </w:r>
      <w:r>
        <w:rPr>
          <w:sz w:val="28"/>
          <w:szCs w:val="28"/>
          <w:lang w:val="en-US"/>
        </w:rPr>
        <w:t>GPS</w:t>
      </w:r>
      <w:r w:rsidRPr="001C4BE9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NAVSTAR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Идентификация спутников может производиться по номеру запуска в системе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(SVN номер), по номеру псевдошумовой последовательности PRN, по номеру в каталоге NASA, по международному номеру, а также по положению в созвездии. В последнем случае используются двухсимвольный код: буква (от А дл F) означает орбитальную плоскость, а цифра – номер спутника на плоскости (от 1 до 4 в полном созвездии). В каждой орбитальной плоскости имеются запасные слоты, для которых припасены обозначения А5, </w:t>
      </w:r>
      <w:r>
        <w:rPr>
          <w:sz w:val="28"/>
          <w:szCs w:val="28"/>
        </w:rPr>
        <w:lastRenderedPageBreak/>
        <w:t>В5 и т.д. (рисунок 3.2). В системе может находиться на орбитах созвездие до 30 спутников.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E00AC" w:rsidRPr="00BE00AC" w:rsidRDefault="00BE00AC" w:rsidP="00BE00AC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22 февраля </w:t>
      </w:r>
      <w:smartTag w:uri="urn:schemas-microsoft-com:office:smarttags" w:element="metricconverter">
        <w:smartTagPr>
          <w:attr w:name="ProductID" w:val="2004 г"/>
        </w:smartTagPr>
        <w:r>
          <w:rPr>
            <w:sz w:val="28"/>
            <w:szCs w:val="28"/>
          </w:rPr>
          <w:t>2004 г</w:t>
        </w:r>
      </w:smartTag>
      <w:r>
        <w:rPr>
          <w:sz w:val="28"/>
          <w:szCs w:val="28"/>
        </w:rPr>
        <w:t xml:space="preserve">. 17: 04 </w:t>
      </w:r>
      <w:r>
        <w:rPr>
          <w:sz w:val="28"/>
          <w:szCs w:val="28"/>
          <w:lang w:val="en-US"/>
        </w:rPr>
        <w:t>UTC</w:t>
      </w:r>
    </w:p>
    <w:p w:rsidR="00BE00AC" w:rsidRPr="00A511FF" w:rsidRDefault="00BE00AC" w:rsidP="00BE00AC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 w:rsidRPr="00A511FF">
        <w:rPr>
          <w:noProof/>
          <w:sz w:val="28"/>
          <w:szCs w:val="28"/>
        </w:rPr>
        <w:drawing>
          <wp:inline distT="0" distB="0" distL="0" distR="0">
            <wp:extent cx="4785360" cy="2552700"/>
            <wp:effectExtent l="0" t="0" r="0" b="0"/>
            <wp:docPr id="5" name="Рисунок 5" descr="сканирование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6000"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536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0AC" w:rsidRPr="009025EA" w:rsidRDefault="00BE00AC" w:rsidP="00BE00AC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3.2 – Схема расположения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на орбитальных плоскостях</w:t>
      </w:r>
    </w:p>
    <w:p w:rsidR="00BE00AC" w:rsidRPr="009A67A1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Начальный пакет из 10 прототипов эксперементальных спутников, названных Блок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был запущен между 1978 и 1985 гг. и использовался для демонстрации возможностей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>. За прототипами последовали модели, названные Блок</w:t>
      </w:r>
      <w:r w:rsidRPr="003F734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и Блок</w:t>
      </w:r>
      <w:r w:rsidRPr="003F734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А (А – от «</w:t>
      </w:r>
      <w:r>
        <w:rPr>
          <w:sz w:val="28"/>
          <w:szCs w:val="28"/>
          <w:lang w:val="en-US"/>
        </w:rPr>
        <w:t>advanced</w:t>
      </w:r>
      <w:r>
        <w:rPr>
          <w:sz w:val="28"/>
          <w:szCs w:val="28"/>
        </w:rPr>
        <w:t xml:space="preserve">», «усовершенствованный»). Первый спутник из этой серии был запущен в феврале </w:t>
      </w:r>
      <w:smartTag w:uri="urn:schemas-microsoft-com:office:smarttags" w:element="metricconverter">
        <w:smartTagPr>
          <w:attr w:name="ProductID" w:val="1989 г"/>
        </w:smartTagPr>
        <w:r>
          <w:rPr>
            <w:sz w:val="28"/>
            <w:szCs w:val="28"/>
          </w:rPr>
          <w:t>1989 г</w:t>
        </w:r>
      </w:smartTag>
      <w:r>
        <w:rPr>
          <w:sz w:val="28"/>
          <w:szCs w:val="28"/>
        </w:rPr>
        <w:t xml:space="preserve">. (рисунок </w:t>
      </w:r>
      <w:r w:rsidRPr="003F734D">
        <w:rPr>
          <w:sz w:val="28"/>
          <w:szCs w:val="28"/>
          <w:highlight w:val="magenta"/>
        </w:rPr>
        <w:t>4.3</w:t>
      </w:r>
      <w:r>
        <w:rPr>
          <w:sz w:val="28"/>
          <w:szCs w:val="28"/>
        </w:rPr>
        <w:t xml:space="preserve"> 3.3). В последующие шесть лет система была доведена до 24 спутников </w:t>
      </w:r>
      <w:r w:rsidRPr="003F734D">
        <w:rPr>
          <w:sz w:val="28"/>
          <w:szCs w:val="28"/>
        </w:rPr>
        <w:t>II</w:t>
      </w:r>
      <w:r>
        <w:rPr>
          <w:sz w:val="28"/>
          <w:szCs w:val="28"/>
        </w:rPr>
        <w:t>/</w:t>
      </w:r>
      <w:r w:rsidRPr="003F734D">
        <w:rPr>
          <w:sz w:val="28"/>
          <w:szCs w:val="28"/>
        </w:rPr>
        <w:t>II</w:t>
      </w:r>
      <w:r>
        <w:rPr>
          <w:sz w:val="28"/>
          <w:szCs w:val="28"/>
        </w:rPr>
        <w:t xml:space="preserve">А и в апреле </w:t>
      </w:r>
      <w:smartTag w:uri="urn:schemas-microsoft-com:office:smarttags" w:element="metricconverter">
        <w:smartTagPr>
          <w:attr w:name="ProductID" w:val="1995 г"/>
        </w:smartTagPr>
        <w:r>
          <w:rPr>
            <w:sz w:val="28"/>
            <w:szCs w:val="28"/>
          </w:rPr>
          <w:t>1995 г</w:t>
        </w:r>
      </w:smartTag>
      <w:r>
        <w:rPr>
          <w:sz w:val="28"/>
          <w:szCs w:val="28"/>
        </w:rPr>
        <w:t>. была объявлена полностью действующей. Следующее поколение спутников, названных Блок</w:t>
      </w:r>
      <w:r w:rsidRPr="003F734D">
        <w:rPr>
          <w:sz w:val="28"/>
          <w:szCs w:val="28"/>
        </w:rPr>
        <w:t xml:space="preserve"> II</w:t>
      </w:r>
      <w:r>
        <w:rPr>
          <w:sz w:val="28"/>
          <w:szCs w:val="28"/>
        </w:rPr>
        <w:t>R (R – от «</w:t>
      </w:r>
      <w:r>
        <w:rPr>
          <w:sz w:val="28"/>
          <w:szCs w:val="28"/>
          <w:lang w:val="en-US"/>
        </w:rPr>
        <w:t>replenishment</w:t>
      </w:r>
      <w:r>
        <w:rPr>
          <w:sz w:val="28"/>
          <w:szCs w:val="28"/>
        </w:rPr>
        <w:t xml:space="preserve">», «пополнение»), будет поддерживать созвездие, по крайней мере, до </w:t>
      </w:r>
      <w:smartTag w:uri="urn:schemas-microsoft-com:office:smarttags" w:element="metricconverter">
        <w:smartTagPr>
          <w:attr w:name="ProductID" w:val="2005 г"/>
        </w:smartTagPr>
        <w:r>
          <w:rPr>
            <w:sz w:val="28"/>
            <w:szCs w:val="28"/>
          </w:rPr>
          <w:t>2005 г</w:t>
        </w:r>
      </w:smartTag>
      <w:r>
        <w:rPr>
          <w:sz w:val="28"/>
          <w:szCs w:val="28"/>
        </w:rPr>
        <w:t>.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E00AC" w:rsidRPr="009D1B32" w:rsidRDefault="00BE00AC" w:rsidP="00BE00AC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 w:rsidRPr="009D1B32">
        <w:rPr>
          <w:noProof/>
          <w:sz w:val="28"/>
          <w:szCs w:val="28"/>
        </w:rPr>
        <w:drawing>
          <wp:inline distT="0" distB="0" distL="0" distR="0">
            <wp:extent cx="4838700" cy="2065020"/>
            <wp:effectExtent l="0" t="0" r="0" b="0"/>
            <wp:docPr id="4" name="Рисунок 4" descr="сканирование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канирование000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</w:tabs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3.3 – Спутники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Блока </w:t>
      </w:r>
      <w:r>
        <w:rPr>
          <w:sz w:val="28"/>
          <w:szCs w:val="28"/>
          <w:lang w:val="en-US"/>
        </w:rPr>
        <w:t>IIA</w:t>
      </w:r>
      <w:r w:rsidRPr="009025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(слева) и Блока </w:t>
      </w:r>
      <w:r>
        <w:rPr>
          <w:sz w:val="28"/>
          <w:szCs w:val="28"/>
          <w:lang w:val="en-US"/>
        </w:rPr>
        <w:t>IIR</w:t>
      </w:r>
    </w:p>
    <w:p w:rsidR="00BE00AC" w:rsidRPr="009025EA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9025EA">
        <w:rPr>
          <w:sz w:val="28"/>
          <w:szCs w:val="28"/>
        </w:rPr>
        <w:t>(</w:t>
      </w:r>
      <w:hyperlink r:id="rId7" w:history="1">
        <w:r w:rsidRPr="009025EA">
          <w:rPr>
            <w:rStyle w:val="a4"/>
            <w:color w:val="auto"/>
            <w:sz w:val="28"/>
            <w:szCs w:val="28"/>
            <w:lang w:val="en-US"/>
          </w:rPr>
          <w:t>http</w:t>
        </w:r>
        <w:r w:rsidRPr="009025EA">
          <w:rPr>
            <w:rStyle w:val="a4"/>
            <w:color w:val="auto"/>
            <w:sz w:val="28"/>
            <w:szCs w:val="28"/>
          </w:rPr>
          <w:t>://</w:t>
        </w:r>
        <w:r w:rsidRPr="009025EA">
          <w:rPr>
            <w:rStyle w:val="a4"/>
            <w:color w:val="auto"/>
            <w:sz w:val="28"/>
            <w:szCs w:val="28"/>
            <w:lang w:val="en-US"/>
          </w:rPr>
          <w:t>www</w:t>
        </w:r>
        <w:r w:rsidRPr="009025EA">
          <w:rPr>
            <w:rStyle w:val="a4"/>
            <w:color w:val="auto"/>
            <w:sz w:val="28"/>
            <w:szCs w:val="28"/>
          </w:rPr>
          <w:t>.</w:t>
        </w:r>
        <w:r w:rsidRPr="009025EA">
          <w:rPr>
            <w:rStyle w:val="a4"/>
            <w:color w:val="auto"/>
            <w:sz w:val="28"/>
            <w:szCs w:val="28"/>
            <w:lang w:val="en-US"/>
          </w:rPr>
          <w:t>craymer</w:t>
        </w:r>
        <w:r w:rsidRPr="009025EA">
          <w:rPr>
            <w:rStyle w:val="a4"/>
            <w:color w:val="auto"/>
            <w:sz w:val="28"/>
            <w:szCs w:val="28"/>
          </w:rPr>
          <w:t>.</w:t>
        </w:r>
        <w:r w:rsidRPr="009025EA">
          <w:rPr>
            <w:rStyle w:val="a4"/>
            <w:color w:val="auto"/>
            <w:sz w:val="28"/>
            <w:szCs w:val="28"/>
            <w:lang w:val="en-US"/>
          </w:rPr>
          <w:t>com</w:t>
        </w:r>
      </w:hyperlink>
      <w:r w:rsidRPr="009025EA">
        <w:rPr>
          <w:sz w:val="28"/>
          <w:szCs w:val="28"/>
        </w:rPr>
        <w:t xml:space="preserve">)  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Новое поколение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названы Блок IIF (F – от «</w:t>
      </w:r>
      <w:r>
        <w:rPr>
          <w:sz w:val="28"/>
          <w:szCs w:val="28"/>
          <w:lang w:val="en-US"/>
        </w:rPr>
        <w:t>follow</w:t>
      </w:r>
      <w:r w:rsidRPr="003F734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on</w:t>
      </w:r>
      <w:r>
        <w:rPr>
          <w:sz w:val="28"/>
          <w:szCs w:val="28"/>
        </w:rPr>
        <w:t xml:space="preserve">», «продолжение»). Первые шесть из них планировалось запустить в </w:t>
      </w:r>
      <w:smartTag w:uri="urn:schemas-microsoft-com:office:smarttags" w:element="metricconverter">
        <w:smartTagPr>
          <w:attr w:name="ProductID" w:val="2003 г"/>
        </w:smartTagPr>
        <w:r>
          <w:rPr>
            <w:sz w:val="28"/>
            <w:szCs w:val="28"/>
          </w:rPr>
          <w:t>2003 г</w:t>
        </w:r>
      </w:smartTag>
      <w:r>
        <w:rPr>
          <w:sz w:val="28"/>
          <w:szCs w:val="28"/>
        </w:rPr>
        <w:t xml:space="preserve">. Министерство обороны США подписало в </w:t>
      </w:r>
      <w:smartTag w:uri="urn:schemas-microsoft-com:office:smarttags" w:element="metricconverter">
        <w:smartTagPr>
          <w:attr w:name="ProductID" w:val="1996 г"/>
        </w:smartTagPr>
        <w:r>
          <w:rPr>
            <w:sz w:val="28"/>
            <w:szCs w:val="28"/>
          </w:rPr>
          <w:t>1996 г</w:t>
        </w:r>
      </w:smartTag>
      <w:r>
        <w:rPr>
          <w:sz w:val="28"/>
          <w:szCs w:val="28"/>
        </w:rPr>
        <w:t xml:space="preserve">. контракт с </w:t>
      </w:r>
      <w:r>
        <w:rPr>
          <w:sz w:val="28"/>
          <w:szCs w:val="28"/>
          <w:lang w:val="en-US"/>
        </w:rPr>
        <w:t>Rockwell</w:t>
      </w:r>
      <w:r w:rsidRPr="00C5452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International</w:t>
      </w:r>
      <w:r>
        <w:rPr>
          <w:sz w:val="28"/>
          <w:szCs w:val="28"/>
        </w:rPr>
        <w:t xml:space="preserve"> (сейчас часть компании </w:t>
      </w:r>
      <w:r>
        <w:rPr>
          <w:sz w:val="28"/>
          <w:szCs w:val="28"/>
          <w:lang w:val="en-US"/>
        </w:rPr>
        <w:t>Boeing</w:t>
      </w:r>
      <w:r>
        <w:rPr>
          <w:sz w:val="28"/>
          <w:szCs w:val="28"/>
        </w:rPr>
        <w:t xml:space="preserve">) на шесть спутников Блока IIF с возможностью приобретения до 27 штук и более. В начале </w:t>
      </w:r>
      <w:smartTag w:uri="urn:schemas-microsoft-com:office:smarttags" w:element="metricconverter">
        <w:smartTagPr>
          <w:attr w:name="ProductID" w:val="2000 г"/>
        </w:smartTagPr>
        <w:r>
          <w:rPr>
            <w:sz w:val="28"/>
            <w:szCs w:val="28"/>
          </w:rPr>
          <w:t>2000 г</w:t>
        </w:r>
      </w:smartTag>
      <w:r>
        <w:rPr>
          <w:sz w:val="28"/>
          <w:szCs w:val="28"/>
        </w:rPr>
        <w:t xml:space="preserve">. было объявлено об изменении курса. Оказалось, что МО США планирует приобрести только 12 спутников IIF. Решение было мотивированно изменениями в требованиях в соответствии с планом модернизации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в котором объявлялось о двух новых сигналах, изменениях в военных сигналах и способности посылать в нужный район сигнал повышенной мощности. Эти изменения должны </w:t>
      </w:r>
      <w:proofErr w:type="gramStart"/>
      <w:r>
        <w:rPr>
          <w:sz w:val="28"/>
          <w:szCs w:val="28"/>
        </w:rPr>
        <w:t>потребовать  существенных</w:t>
      </w:r>
      <w:proofErr w:type="gramEnd"/>
      <w:r>
        <w:rPr>
          <w:sz w:val="28"/>
          <w:szCs w:val="28"/>
        </w:rPr>
        <w:t xml:space="preserve"> модификаций в проекте Блока IIF. Министерство обороны начинает процесс ликвидации прежних обязательств, накапливая новое поколение спутников, </w:t>
      </w:r>
      <w:proofErr w:type="gramStart"/>
      <w:r>
        <w:rPr>
          <w:sz w:val="28"/>
          <w:szCs w:val="28"/>
        </w:rPr>
        <w:t xml:space="preserve">называемое  </w:t>
      </w:r>
      <w:r>
        <w:rPr>
          <w:sz w:val="28"/>
          <w:szCs w:val="28"/>
          <w:lang w:val="en-US"/>
        </w:rPr>
        <w:t>GPS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.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Каждый новый блок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проектировался с более высокоми возможностями, большим сроком функционирования и, стоит отметить, с более низкой стоимостью (таблица 3.1 </w:t>
      </w:r>
      <w:r>
        <w:rPr>
          <w:sz w:val="28"/>
          <w:szCs w:val="28"/>
          <w:lang w:val="en-US"/>
        </w:rPr>
        <w:t>[Misra and Enge, 2001]</w:t>
      </w:r>
      <w:r>
        <w:rPr>
          <w:sz w:val="28"/>
          <w:szCs w:val="28"/>
        </w:rPr>
        <w:t>).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3.1 – Информация о спутниках </w:t>
      </w:r>
      <w:r>
        <w:rPr>
          <w:sz w:val="28"/>
          <w:szCs w:val="28"/>
          <w:lang w:val="en-US"/>
        </w:rPr>
        <w:t>GPS</w:t>
      </w:r>
    </w:p>
    <w:p w:rsidR="00BE00AC" w:rsidRDefault="00BE00AC" w:rsidP="00BE00AC">
      <w:pPr>
        <w:tabs>
          <w:tab w:val="left" w:pos="720"/>
        </w:tabs>
        <w:ind w:firstLine="708"/>
        <w:jc w:val="both"/>
        <w:rPr>
          <w:sz w:val="28"/>
          <w:szCs w:val="28"/>
        </w:rPr>
      </w:pPr>
    </w:p>
    <w:tbl>
      <w:tblPr>
        <w:tblStyle w:val="a3"/>
        <w:tblW w:w="9828" w:type="dxa"/>
        <w:tblLook w:val="01E0" w:firstRow="1" w:lastRow="1" w:firstColumn="1" w:lastColumn="1" w:noHBand="0" w:noVBand="0"/>
      </w:tblPr>
      <w:tblGrid>
        <w:gridCol w:w="4968"/>
        <w:gridCol w:w="1620"/>
        <w:gridCol w:w="1620"/>
        <w:gridCol w:w="1620"/>
      </w:tblGrid>
      <w:tr w:rsidR="00BE00AC" w:rsidTr="00E87D39">
        <w:tc>
          <w:tcPr>
            <w:tcW w:w="4968" w:type="dxa"/>
          </w:tcPr>
          <w:p w:rsidR="00BE00AC" w:rsidRDefault="00BE00AC" w:rsidP="00E87D39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Блок II/IIА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Блок IIR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Блок IIF</w:t>
            </w:r>
          </w:p>
        </w:tc>
      </w:tr>
      <w:tr w:rsidR="00BE00AC" w:rsidTr="00E87D39">
        <w:tc>
          <w:tcPr>
            <w:tcW w:w="4968" w:type="dxa"/>
          </w:tcPr>
          <w:p w:rsidR="00BE00AC" w:rsidRDefault="00BE00AC" w:rsidP="00E87D39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BE00AC" w:rsidTr="00E87D39">
        <w:tc>
          <w:tcPr>
            <w:tcW w:w="4968" w:type="dxa"/>
          </w:tcPr>
          <w:p w:rsidR="00BE00AC" w:rsidRDefault="00BE00AC" w:rsidP="00E87D39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Первый запуск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1989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1997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2005</w:t>
            </w:r>
          </w:p>
        </w:tc>
      </w:tr>
      <w:tr w:rsidR="00BE00AC" w:rsidTr="00E87D39">
        <w:tc>
          <w:tcPr>
            <w:tcW w:w="4968" w:type="dxa"/>
          </w:tcPr>
          <w:p w:rsidR="00BE00AC" w:rsidRDefault="00BE00AC" w:rsidP="00E87D39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Масса (кг)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1100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1700</w:t>
            </w:r>
          </w:p>
        </w:tc>
      </w:tr>
      <w:tr w:rsidR="00BE00AC" w:rsidTr="00E87D39">
        <w:tc>
          <w:tcPr>
            <w:tcW w:w="4968" w:type="dxa"/>
          </w:tcPr>
          <w:p w:rsidR="00BE00AC" w:rsidRDefault="00BE00AC" w:rsidP="00E87D39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Мощность от солнечных батарей (W)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1100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1700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2900</w:t>
            </w:r>
          </w:p>
        </w:tc>
      </w:tr>
      <w:tr w:rsidR="00BE00AC" w:rsidTr="00E87D39">
        <w:tc>
          <w:tcPr>
            <w:tcW w:w="4968" w:type="dxa"/>
          </w:tcPr>
          <w:p w:rsidR="00BE00AC" w:rsidRDefault="00BE00AC" w:rsidP="00E87D39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 функционирования (лет)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7.5 *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*</w:t>
            </w:r>
          </w:p>
        </w:tc>
        <w:tc>
          <w:tcPr>
            <w:tcW w:w="1620" w:type="dxa"/>
          </w:tcPr>
          <w:p w:rsidR="00BE00AC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*</w:t>
            </w:r>
          </w:p>
        </w:tc>
      </w:tr>
      <w:tr w:rsidR="00BE00AC" w:rsidTr="00E87D39">
        <w:tc>
          <w:tcPr>
            <w:tcW w:w="4968" w:type="dxa"/>
          </w:tcPr>
          <w:p w:rsidR="00BE00AC" w:rsidRDefault="00BE00AC" w:rsidP="00E87D39">
            <w:pPr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Стоимость за единицу</w:t>
            </w:r>
          </w:p>
        </w:tc>
        <w:tc>
          <w:tcPr>
            <w:tcW w:w="1620" w:type="dxa"/>
          </w:tcPr>
          <w:p w:rsidR="00BE00AC" w:rsidRPr="005831E6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$</w:t>
            </w:r>
            <w:r>
              <w:rPr>
                <w:sz w:val="28"/>
                <w:szCs w:val="28"/>
              </w:rPr>
              <w:t>43М</w:t>
            </w:r>
          </w:p>
        </w:tc>
        <w:tc>
          <w:tcPr>
            <w:tcW w:w="1620" w:type="dxa"/>
          </w:tcPr>
          <w:p w:rsidR="00BE00AC" w:rsidRPr="005831E6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$</w:t>
            </w:r>
            <w:r>
              <w:rPr>
                <w:sz w:val="28"/>
                <w:szCs w:val="28"/>
              </w:rPr>
              <w:t>30М</w:t>
            </w:r>
          </w:p>
        </w:tc>
        <w:tc>
          <w:tcPr>
            <w:tcW w:w="1620" w:type="dxa"/>
          </w:tcPr>
          <w:p w:rsidR="00BE00AC" w:rsidRPr="005831E6" w:rsidRDefault="00BE00AC" w:rsidP="00E87D39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$</w:t>
            </w:r>
            <w:r>
              <w:rPr>
                <w:sz w:val="28"/>
                <w:szCs w:val="28"/>
              </w:rPr>
              <w:t>28М *</w:t>
            </w:r>
          </w:p>
        </w:tc>
      </w:tr>
    </w:tbl>
    <w:p w:rsidR="00BE00AC" w:rsidRDefault="00BE00AC" w:rsidP="00BE00AC">
      <w:pPr>
        <w:tabs>
          <w:tab w:val="left" w:pos="720"/>
        </w:tabs>
        <w:jc w:val="both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* Проектные данные.</w:t>
      </w:r>
    </w:p>
    <w:p w:rsidR="00BE00AC" w:rsidRDefault="00BE00AC" w:rsidP="00BE00AC">
      <w:pPr>
        <w:tabs>
          <w:tab w:val="left" w:pos="720"/>
        </w:tabs>
        <w:ind w:left="720"/>
        <w:jc w:val="both"/>
        <w:rPr>
          <w:sz w:val="28"/>
          <w:szCs w:val="28"/>
        </w:rPr>
      </w:pPr>
    </w:p>
    <w:p w:rsidR="00BE00AC" w:rsidRDefault="00BE00AC" w:rsidP="00BE00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Проектное созвездие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состояло из 24 спутников. С </w:t>
      </w:r>
      <w:smartTag w:uri="urn:schemas-microsoft-com:office:smarttags" w:element="metricconverter">
        <w:smartTagPr>
          <w:attr w:name="ProductID" w:val="1995 г"/>
        </w:smartTagPr>
        <w:r>
          <w:rPr>
            <w:sz w:val="28"/>
            <w:szCs w:val="28"/>
          </w:rPr>
          <w:t>1995 г</w:t>
        </w:r>
      </w:smartTag>
      <w:r>
        <w:rPr>
          <w:sz w:val="28"/>
          <w:szCs w:val="28"/>
        </w:rPr>
        <w:t xml:space="preserve">. число активных спутников превышало эту цифру. При необходимости спутники могут на короткое, заранее объявленное время убираться с линии. Внезапные выходы из строя могут уменьшать группировку, но спутники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– достаточно надежные, и срок их жизни значительно превышает расчетный. Из 10  спутников Блока II/IIА (срок жизни 7.5 лет), запущенных в 1989-1990 гг., все, за исключением одного, были в работе на начало </w:t>
      </w:r>
      <w:smartTag w:uri="urn:schemas-microsoft-com:office:smarttags" w:element="metricconverter">
        <w:smartTagPr>
          <w:attr w:name="ProductID" w:val="2000 г"/>
        </w:smartTagPr>
        <w:r>
          <w:rPr>
            <w:sz w:val="28"/>
            <w:szCs w:val="28"/>
          </w:rPr>
          <w:t>2000 г</w:t>
        </w:r>
      </w:smartTag>
      <w:r>
        <w:rPr>
          <w:sz w:val="28"/>
          <w:szCs w:val="28"/>
        </w:rPr>
        <w:t>. Спутники являются носителями радиопередатчиков с антеннами, атомных часов, компьютеров и разнообразного вспомогательного оборудования (солнечных батарей, системы стабилизации, реактивных двигателей для корректировки орбиты и т.п.).</w:t>
      </w:r>
    </w:p>
    <w:p w:rsidR="00BE00AC" w:rsidRDefault="00BE00AC" w:rsidP="00BE00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состоянию на 22 февраля </w:t>
      </w:r>
      <w:smartTag w:uri="urn:schemas-microsoft-com:office:smarttags" w:element="metricconverter">
        <w:smartTagPr>
          <w:attr w:name="ProductID" w:val="2004 г"/>
        </w:smartTagPr>
        <w:r>
          <w:rPr>
            <w:sz w:val="28"/>
            <w:szCs w:val="28"/>
          </w:rPr>
          <w:t>2004 г</w:t>
        </w:r>
      </w:smartTag>
      <w:r>
        <w:rPr>
          <w:sz w:val="28"/>
          <w:szCs w:val="28"/>
        </w:rPr>
        <w:t xml:space="preserve">. (информация сайта </w:t>
      </w:r>
      <w:hyperlink r:id="rId8" w:history="1">
        <w:r w:rsidRPr="00EA731B">
          <w:rPr>
            <w:rStyle w:val="a4"/>
            <w:color w:val="auto"/>
            <w:sz w:val="28"/>
            <w:szCs w:val="28"/>
            <w:lang w:val="en-US"/>
          </w:rPr>
          <w:t>http</w:t>
        </w:r>
        <w:r w:rsidRPr="00EA731B">
          <w:rPr>
            <w:rStyle w:val="a4"/>
            <w:color w:val="auto"/>
            <w:sz w:val="28"/>
            <w:szCs w:val="28"/>
          </w:rPr>
          <w:t>://</w:t>
        </w:r>
        <w:r w:rsidRPr="00EA731B">
          <w:rPr>
            <w:rStyle w:val="a4"/>
            <w:color w:val="auto"/>
            <w:sz w:val="28"/>
            <w:szCs w:val="28"/>
            <w:lang w:val="en-US"/>
          </w:rPr>
          <w:t>www</w:t>
        </w:r>
        <w:r w:rsidRPr="00EA731B">
          <w:rPr>
            <w:rStyle w:val="a4"/>
            <w:color w:val="auto"/>
            <w:sz w:val="28"/>
            <w:szCs w:val="28"/>
          </w:rPr>
          <w:t>.</w:t>
        </w:r>
        <w:r w:rsidRPr="00EA731B">
          <w:rPr>
            <w:rStyle w:val="a4"/>
            <w:color w:val="auto"/>
            <w:sz w:val="28"/>
            <w:szCs w:val="28"/>
            <w:lang w:val="en-US"/>
          </w:rPr>
          <w:t>navcen</w:t>
        </w:r>
        <w:r w:rsidRPr="00EA731B">
          <w:rPr>
            <w:rStyle w:val="a4"/>
            <w:color w:val="auto"/>
            <w:sz w:val="28"/>
            <w:szCs w:val="28"/>
          </w:rPr>
          <w:t>.</w:t>
        </w:r>
        <w:r w:rsidRPr="00EA731B">
          <w:rPr>
            <w:rStyle w:val="a4"/>
            <w:color w:val="auto"/>
            <w:sz w:val="28"/>
            <w:szCs w:val="28"/>
            <w:lang w:val="en-US"/>
          </w:rPr>
          <w:t>uscg</w:t>
        </w:r>
        <w:r w:rsidRPr="00EA731B">
          <w:rPr>
            <w:rStyle w:val="a4"/>
            <w:color w:val="auto"/>
            <w:sz w:val="28"/>
            <w:szCs w:val="28"/>
          </w:rPr>
          <w:t>.</w:t>
        </w:r>
        <w:r w:rsidRPr="00EA731B">
          <w:rPr>
            <w:rStyle w:val="a4"/>
            <w:color w:val="auto"/>
            <w:sz w:val="28"/>
            <w:szCs w:val="28"/>
            <w:lang w:val="en-US"/>
          </w:rPr>
          <w:t>gov</w:t>
        </w:r>
      </w:hyperlink>
      <w:r w:rsidRPr="00EA731B">
        <w:rPr>
          <w:sz w:val="28"/>
          <w:szCs w:val="28"/>
        </w:rPr>
        <w:t>)</w:t>
      </w:r>
      <w:r>
        <w:rPr>
          <w:sz w:val="28"/>
          <w:szCs w:val="28"/>
        </w:rPr>
        <w:t xml:space="preserve">, рабочее созвездие включало 28 спутников из блоков II, IIA и IIR. На </w:t>
      </w:r>
      <w:proofErr w:type="gramStart"/>
      <w:r>
        <w:rPr>
          <w:sz w:val="28"/>
          <w:szCs w:val="28"/>
        </w:rPr>
        <w:t>рисунке  3.2</w:t>
      </w:r>
      <w:proofErr w:type="gramEnd"/>
      <w:r>
        <w:rPr>
          <w:sz w:val="28"/>
          <w:szCs w:val="28"/>
        </w:rPr>
        <w:t xml:space="preserve"> показана схема расположения спутников на орбитальных плоскостях, составленная на основании альманаха системы.</w:t>
      </w:r>
    </w:p>
    <w:p w:rsidR="00BE00AC" w:rsidRDefault="00BE00AC" w:rsidP="00BE00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BE00AC" w:rsidRDefault="00BE00AC" w:rsidP="00BE00AC">
      <w:pPr>
        <w:ind w:firstLine="708"/>
        <w:jc w:val="both"/>
        <w:rPr>
          <w:sz w:val="28"/>
          <w:szCs w:val="28"/>
        </w:rPr>
      </w:pPr>
    </w:p>
    <w:p w:rsidR="00BE00AC" w:rsidRDefault="00BE00AC" w:rsidP="00BE00AC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3.2.1.1 Орбитальные параметры</w:t>
      </w:r>
    </w:p>
    <w:p w:rsidR="00BE00AC" w:rsidRDefault="00BE00AC" w:rsidP="00BE00AC">
      <w:pPr>
        <w:ind w:firstLine="708"/>
        <w:jc w:val="both"/>
        <w:rPr>
          <w:sz w:val="28"/>
          <w:szCs w:val="28"/>
        </w:rPr>
      </w:pPr>
    </w:p>
    <w:p w:rsidR="00BE00AC" w:rsidRDefault="00BE00AC" w:rsidP="00BE00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наклонение орбит всех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55º, хотя у спутников Блока I оно было выбрано 63º. Эксцентриситеты орбит находятся в пределах 0.001 ÷ 0.02, то есть практически круговые. Большая высота над поверхностью Земли – </w:t>
      </w:r>
      <w:smartTag w:uri="urn:schemas-microsoft-com:office:smarttags" w:element="metricconverter">
        <w:smartTagPr>
          <w:attr w:name="ProductID" w:val="20 150 км"/>
        </w:smartTagPr>
        <w:r>
          <w:rPr>
            <w:sz w:val="28"/>
            <w:szCs w:val="28"/>
          </w:rPr>
          <w:t>20 150 км</w:t>
        </w:r>
      </w:smartTag>
      <w:r>
        <w:rPr>
          <w:sz w:val="28"/>
          <w:szCs w:val="28"/>
        </w:rPr>
        <w:t xml:space="preserve"> – сводит до минимума влияние трудно прогнозируемого сопротивления атмосферы и допускает при расчете эфемерид использовать более простые модели гравитационного поля Земли, чем низкоорбитных спутников. </w:t>
      </w:r>
      <w:proofErr w:type="gramStart"/>
      <w:r>
        <w:rPr>
          <w:sz w:val="28"/>
          <w:szCs w:val="28"/>
        </w:rPr>
        <w:t>Большая  высота</w:t>
      </w:r>
      <w:proofErr w:type="gramEnd"/>
      <w:r>
        <w:rPr>
          <w:sz w:val="28"/>
          <w:szCs w:val="28"/>
        </w:rPr>
        <w:t xml:space="preserve"> над поверхностью Земли обеспечивает также большие размеры зоны видимости, как с Земли, так и со спутника (таблица 3.2). Продолжительность пребывания одного спутника в зоне видимости при его зенитном прохождении и при углах отсечки по высоте             h</w:t>
      </w:r>
      <w:r>
        <w:rPr>
          <w:sz w:val="28"/>
          <w:szCs w:val="28"/>
          <w:vertAlign w:val="subscript"/>
        </w:rPr>
        <w:t>min</w:t>
      </w:r>
      <w:r>
        <w:rPr>
          <w:sz w:val="28"/>
          <w:szCs w:val="28"/>
        </w:rPr>
        <w:t xml:space="preserve"> = 15º равна примерно 4 часам.</w:t>
      </w:r>
    </w:p>
    <w:p w:rsidR="00BE00AC" w:rsidRDefault="00BE00AC" w:rsidP="00BE00AC">
      <w:pPr>
        <w:ind w:firstLine="708"/>
        <w:jc w:val="both"/>
        <w:rPr>
          <w:sz w:val="28"/>
          <w:szCs w:val="28"/>
        </w:rPr>
      </w:pPr>
    </w:p>
    <w:p w:rsidR="00BE00AC" w:rsidRDefault="00BE00AC" w:rsidP="00BE00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3.2 – Параметры движения спутников </w:t>
      </w:r>
      <w:r>
        <w:rPr>
          <w:sz w:val="28"/>
          <w:szCs w:val="28"/>
          <w:lang w:val="en-US"/>
        </w:rPr>
        <w:t>GPS</w:t>
      </w:r>
    </w:p>
    <w:p w:rsidR="00BE00AC" w:rsidRDefault="00BE00AC" w:rsidP="00BE00AC">
      <w:pPr>
        <w:ind w:firstLine="708"/>
        <w:jc w:val="both"/>
        <w:rPr>
          <w:sz w:val="28"/>
          <w:szCs w:val="28"/>
        </w:rPr>
      </w:pPr>
    </w:p>
    <w:tbl>
      <w:tblPr>
        <w:tblStyle w:val="a3"/>
        <w:tblW w:w="9828" w:type="dxa"/>
        <w:tblLook w:val="01E0" w:firstRow="1" w:lastRow="1" w:firstColumn="1" w:lastColumn="1" w:noHBand="0" w:noVBand="0"/>
      </w:tblPr>
      <w:tblGrid>
        <w:gridCol w:w="8028"/>
        <w:gridCol w:w="1800"/>
      </w:tblGrid>
      <w:tr w:rsidR="00BE00AC" w:rsidTr="00E87D39">
        <w:tc>
          <w:tcPr>
            <w:tcW w:w="8028" w:type="dxa"/>
          </w:tcPr>
          <w:p w:rsidR="00BE00AC" w:rsidRDefault="00BE00AC" w:rsidP="00E87D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Параметр</w:t>
            </w:r>
          </w:p>
        </w:tc>
        <w:tc>
          <w:tcPr>
            <w:tcW w:w="1800" w:type="dxa"/>
          </w:tcPr>
          <w:p w:rsidR="00BE00AC" w:rsidRDefault="00BE00AC" w:rsidP="00E87D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Значение</w:t>
            </w:r>
          </w:p>
        </w:tc>
      </w:tr>
      <w:tr w:rsidR="00BE00AC" w:rsidTr="00E87D39">
        <w:tc>
          <w:tcPr>
            <w:tcW w:w="8028" w:type="dxa"/>
          </w:tcPr>
          <w:p w:rsidR="00BE00AC" w:rsidRPr="000A75EF" w:rsidRDefault="00BE00AC" w:rsidP="00E87D3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Большая полуось орбиты, </w:t>
            </w:r>
            <w:r w:rsidRPr="000A75EF">
              <w:rPr>
                <w:i/>
                <w:sz w:val="28"/>
                <w:szCs w:val="28"/>
              </w:rPr>
              <w:t>а</w:t>
            </w:r>
          </w:p>
        </w:tc>
        <w:tc>
          <w:tcPr>
            <w:tcW w:w="1800" w:type="dxa"/>
          </w:tcPr>
          <w:p w:rsidR="00BE00AC" w:rsidRDefault="00BE00AC" w:rsidP="00E87D39">
            <w:pPr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6560 км"/>
              </w:smartTagPr>
              <w:r>
                <w:rPr>
                  <w:sz w:val="28"/>
                  <w:szCs w:val="28"/>
                </w:rPr>
                <w:t>26560 км</w:t>
              </w:r>
            </w:smartTag>
          </w:p>
        </w:tc>
      </w:tr>
      <w:tr w:rsidR="00BE00AC" w:rsidTr="00E87D39">
        <w:tc>
          <w:tcPr>
            <w:tcW w:w="8028" w:type="dxa"/>
          </w:tcPr>
          <w:p w:rsidR="00BE00AC" w:rsidRPr="000A75EF" w:rsidRDefault="00BE00AC" w:rsidP="00E87D3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Наклонение орбиты </w:t>
            </w:r>
            <w:r w:rsidRPr="000A75EF">
              <w:rPr>
                <w:i/>
                <w:sz w:val="28"/>
                <w:szCs w:val="28"/>
              </w:rPr>
              <w:t>i</w:t>
            </w:r>
          </w:p>
        </w:tc>
        <w:tc>
          <w:tcPr>
            <w:tcW w:w="1800" w:type="dxa"/>
          </w:tcPr>
          <w:p w:rsidR="00BE00AC" w:rsidRDefault="00BE00AC" w:rsidP="00E87D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55º *</w:t>
            </w:r>
          </w:p>
        </w:tc>
      </w:tr>
      <w:tr w:rsidR="00BE00AC" w:rsidTr="00E87D39">
        <w:tc>
          <w:tcPr>
            <w:tcW w:w="8028" w:type="dxa"/>
          </w:tcPr>
          <w:p w:rsidR="00BE00AC" w:rsidRDefault="00BE00AC" w:rsidP="00E87D3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Средняя высота над земной поверхностью, </w:t>
            </w:r>
            <w:r w:rsidRPr="000A75EF">
              <w:rPr>
                <w:i/>
                <w:sz w:val="28"/>
                <w:szCs w:val="28"/>
              </w:rPr>
              <w:t>Н =a</w:t>
            </w:r>
            <w:r>
              <w:rPr>
                <w:i/>
                <w:sz w:val="28"/>
                <w:szCs w:val="28"/>
              </w:rPr>
              <w:t>–</w:t>
            </w:r>
            <w:r w:rsidRPr="000A75EF">
              <w:rPr>
                <w:i/>
                <w:sz w:val="28"/>
                <w:szCs w:val="28"/>
              </w:rPr>
              <w:t xml:space="preserve"> R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00" w:type="dxa"/>
          </w:tcPr>
          <w:p w:rsidR="00BE00AC" w:rsidRDefault="00BE00AC" w:rsidP="00E87D39">
            <w:pPr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0182 км"/>
              </w:smartTagPr>
              <w:r>
                <w:rPr>
                  <w:sz w:val="28"/>
                  <w:szCs w:val="28"/>
                </w:rPr>
                <w:t>20182 км</w:t>
              </w:r>
            </w:smartTag>
          </w:p>
        </w:tc>
      </w:tr>
      <w:tr w:rsidR="00BE00AC" w:rsidTr="00E87D39">
        <w:tc>
          <w:tcPr>
            <w:tcW w:w="8028" w:type="dxa"/>
          </w:tcPr>
          <w:p w:rsidR="00BE00AC" w:rsidRDefault="00BE00AC" w:rsidP="00E87D3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Среднее движение </w:t>
            </w:r>
            <w:r w:rsidRPr="000A75EF">
              <w:rPr>
                <w:position w:val="-12"/>
                <w:sz w:val="28"/>
                <w:szCs w:val="28"/>
              </w:rPr>
              <w:object w:dxaOrig="1180" w:dyaOrig="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8" type="#_x0000_t75" style="width:58.8pt;height:22.2pt" o:ole="">
                  <v:imagedata r:id="rId9" o:title=""/>
                </v:shape>
                <o:OLEObject Type="Embed" ProgID="Equation.3" ShapeID="_x0000_i1028" DrawAspect="Content" ObjectID="_1694092983" r:id="rId10"/>
              </w:object>
            </w:r>
          </w:p>
        </w:tc>
        <w:tc>
          <w:tcPr>
            <w:tcW w:w="1800" w:type="dxa"/>
          </w:tcPr>
          <w:p w:rsidR="00BE00AC" w:rsidRDefault="00BE00AC" w:rsidP="00E87D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30º/час</w:t>
            </w:r>
          </w:p>
        </w:tc>
      </w:tr>
      <w:tr w:rsidR="00BE00AC" w:rsidTr="00E87D39">
        <w:tc>
          <w:tcPr>
            <w:tcW w:w="8028" w:type="dxa"/>
          </w:tcPr>
          <w:p w:rsidR="00BE00AC" w:rsidRDefault="00BE00AC" w:rsidP="00E87D3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Период обращения, </w:t>
            </w:r>
            <w:r w:rsidRPr="000A75EF">
              <w:rPr>
                <w:position w:val="-6"/>
                <w:sz w:val="28"/>
                <w:szCs w:val="28"/>
              </w:rPr>
              <w:object w:dxaOrig="1040" w:dyaOrig="279">
                <v:shape id="_x0000_i1029" type="#_x0000_t75" style="width:52.2pt;height:13.8pt" o:ole="">
                  <v:imagedata r:id="rId11" o:title=""/>
                </v:shape>
                <o:OLEObject Type="Embed" ProgID="Equation.3" ShapeID="_x0000_i1029" DrawAspect="Content" ObjectID="_1694092984" r:id="rId12"/>
              </w:object>
            </w:r>
          </w:p>
        </w:tc>
        <w:tc>
          <w:tcPr>
            <w:tcW w:w="1800" w:type="dxa"/>
          </w:tcPr>
          <w:p w:rsidR="00BE00AC" w:rsidRDefault="00BE00AC" w:rsidP="00E87D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11:57:58</w:t>
            </w:r>
          </w:p>
        </w:tc>
      </w:tr>
      <w:tr w:rsidR="00BE00AC" w:rsidTr="00E87D39">
        <w:tc>
          <w:tcPr>
            <w:tcW w:w="8028" w:type="dxa"/>
          </w:tcPr>
          <w:p w:rsidR="00BE00AC" w:rsidRDefault="00BE00AC" w:rsidP="00E87D3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Скорость полета по орбите </w:t>
            </w:r>
            <w:r w:rsidRPr="000A75EF">
              <w:rPr>
                <w:position w:val="-12"/>
                <w:sz w:val="28"/>
                <w:szCs w:val="28"/>
              </w:rPr>
              <w:object w:dxaOrig="1100" w:dyaOrig="400">
                <v:shape id="_x0000_i1030" type="#_x0000_t75" style="width:55.2pt;height:19.8pt" o:ole="">
                  <v:imagedata r:id="rId13" o:title=""/>
                </v:shape>
                <o:OLEObject Type="Embed" ProgID="Equation.3" ShapeID="_x0000_i1030" DrawAspect="Content" ObjectID="_1694092985" r:id="rId14"/>
              </w:object>
            </w:r>
          </w:p>
        </w:tc>
        <w:tc>
          <w:tcPr>
            <w:tcW w:w="1800" w:type="dxa"/>
          </w:tcPr>
          <w:p w:rsidR="00BE00AC" w:rsidRDefault="00BE00AC" w:rsidP="00E87D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3874 км/с</w:t>
            </w:r>
          </w:p>
        </w:tc>
      </w:tr>
      <w:tr w:rsidR="00BE00AC" w:rsidTr="00E87D39">
        <w:tc>
          <w:tcPr>
            <w:tcW w:w="8028" w:type="dxa"/>
          </w:tcPr>
          <w:p w:rsidR="00BE00AC" w:rsidRDefault="00BE00AC" w:rsidP="00E87D3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Радиус зоны видимости со спутника при </w:t>
            </w:r>
            <w:r w:rsidRPr="005C5F8E">
              <w:rPr>
                <w:i/>
                <w:sz w:val="28"/>
                <w:szCs w:val="28"/>
              </w:rPr>
              <w:t>h</w:t>
            </w:r>
            <w:r w:rsidRPr="005C5F8E">
              <w:rPr>
                <w:i/>
                <w:sz w:val="28"/>
                <w:szCs w:val="28"/>
                <w:vertAlign w:val="subscript"/>
              </w:rPr>
              <w:t>min</w:t>
            </w:r>
            <w:r w:rsidRPr="005C5F8E">
              <w:rPr>
                <w:i/>
                <w:sz w:val="28"/>
                <w:szCs w:val="28"/>
              </w:rPr>
              <w:t xml:space="preserve"> </w:t>
            </w:r>
            <w:r w:rsidRPr="005C5F8E">
              <w:rPr>
                <w:sz w:val="28"/>
                <w:szCs w:val="28"/>
              </w:rPr>
              <w:t>= 15º</w:t>
            </w:r>
          </w:p>
        </w:tc>
        <w:tc>
          <w:tcPr>
            <w:tcW w:w="1800" w:type="dxa"/>
          </w:tcPr>
          <w:p w:rsidR="00BE00AC" w:rsidRDefault="00BE00AC" w:rsidP="00E87D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13.4º</w:t>
            </w:r>
          </w:p>
        </w:tc>
      </w:tr>
      <w:tr w:rsidR="00BE00AC" w:rsidTr="00E87D39">
        <w:tc>
          <w:tcPr>
            <w:tcW w:w="8028" w:type="dxa"/>
          </w:tcPr>
          <w:p w:rsidR="00BE00AC" w:rsidRPr="005C5F8E" w:rsidRDefault="00BE00AC" w:rsidP="00E87D3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Радиус зоны видимости </w:t>
            </w:r>
            <w:r w:rsidRPr="005C5F8E">
              <w:rPr>
                <w:i/>
                <w:sz w:val="28"/>
                <w:szCs w:val="28"/>
              </w:rPr>
              <w:t>β</w:t>
            </w:r>
            <w:r>
              <w:rPr>
                <w:sz w:val="28"/>
                <w:szCs w:val="28"/>
              </w:rPr>
              <w:t xml:space="preserve"> со станции при </w:t>
            </w:r>
            <w:r w:rsidRPr="005C5F8E">
              <w:rPr>
                <w:i/>
                <w:sz w:val="28"/>
                <w:szCs w:val="28"/>
              </w:rPr>
              <w:t>h</w:t>
            </w:r>
            <w:r w:rsidRPr="005C5F8E">
              <w:rPr>
                <w:i/>
                <w:sz w:val="28"/>
                <w:szCs w:val="28"/>
                <w:vertAlign w:val="subscript"/>
              </w:rPr>
              <w:t>min</w:t>
            </w:r>
            <w:r w:rsidRPr="005C5F8E">
              <w:rPr>
                <w:i/>
                <w:sz w:val="28"/>
                <w:szCs w:val="28"/>
              </w:rPr>
              <w:t xml:space="preserve"> </w:t>
            </w:r>
            <w:r w:rsidRPr="005C5F8E">
              <w:rPr>
                <w:sz w:val="28"/>
                <w:szCs w:val="28"/>
              </w:rPr>
              <w:t>= 15º</w:t>
            </w:r>
          </w:p>
        </w:tc>
        <w:tc>
          <w:tcPr>
            <w:tcW w:w="1800" w:type="dxa"/>
          </w:tcPr>
          <w:p w:rsidR="00BE00AC" w:rsidRDefault="00BE00AC" w:rsidP="00E87D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61.6º</w:t>
            </w:r>
          </w:p>
        </w:tc>
      </w:tr>
      <w:tr w:rsidR="00BE00AC" w:rsidTr="00E87D39">
        <w:tc>
          <w:tcPr>
            <w:tcW w:w="8028" w:type="dxa"/>
          </w:tcPr>
          <w:p w:rsidR="00BE00AC" w:rsidRDefault="00BE00AC" w:rsidP="00E87D3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Максимальное пребывание в зоне видимости при </w:t>
            </w:r>
            <w:r w:rsidRPr="005C5F8E">
              <w:rPr>
                <w:i/>
                <w:sz w:val="28"/>
                <w:szCs w:val="28"/>
              </w:rPr>
              <w:t>h</w:t>
            </w:r>
            <w:r w:rsidRPr="005C5F8E">
              <w:rPr>
                <w:i/>
                <w:sz w:val="28"/>
                <w:szCs w:val="28"/>
                <w:vertAlign w:val="subscript"/>
              </w:rPr>
              <w:t>min</w:t>
            </w:r>
            <w:r w:rsidRPr="005C5F8E">
              <w:rPr>
                <w:i/>
                <w:sz w:val="28"/>
                <w:szCs w:val="28"/>
              </w:rPr>
              <w:t xml:space="preserve"> </w:t>
            </w:r>
            <w:r w:rsidRPr="005C5F8E">
              <w:rPr>
                <w:sz w:val="28"/>
                <w:szCs w:val="28"/>
              </w:rPr>
              <w:t>= 15º</w:t>
            </w:r>
          </w:p>
        </w:tc>
        <w:tc>
          <w:tcPr>
            <w:tcW w:w="1800" w:type="dxa"/>
          </w:tcPr>
          <w:p w:rsidR="00BE00AC" w:rsidRDefault="00BE00AC" w:rsidP="00E87D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 часа</w:t>
            </w:r>
          </w:p>
        </w:tc>
      </w:tr>
      <w:tr w:rsidR="00BE00AC" w:rsidTr="00E87D39">
        <w:tc>
          <w:tcPr>
            <w:tcW w:w="8028" w:type="dxa"/>
          </w:tcPr>
          <w:p w:rsidR="00BE00AC" w:rsidRDefault="00BE00AC" w:rsidP="00E87D3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Прецессия орбиты за сутки </w:t>
            </w:r>
            <w:r w:rsidRPr="005C5F8E">
              <w:rPr>
                <w:position w:val="-12"/>
                <w:sz w:val="28"/>
                <w:szCs w:val="28"/>
              </w:rPr>
              <w:object w:dxaOrig="2920" w:dyaOrig="400">
                <v:shape id="_x0000_i1031" type="#_x0000_t75" style="width:145.8pt;height:19.8pt" o:ole="">
                  <v:imagedata r:id="rId15" o:title=""/>
                </v:shape>
                <o:OLEObject Type="Embed" ProgID="Equation.3" ShapeID="_x0000_i1031" DrawAspect="Content" ObjectID="_1694092986" r:id="rId16"/>
              </w:object>
            </w:r>
          </w:p>
        </w:tc>
        <w:tc>
          <w:tcPr>
            <w:tcW w:w="1800" w:type="dxa"/>
          </w:tcPr>
          <w:p w:rsidR="00BE00AC" w:rsidRDefault="00BE00AC" w:rsidP="00E87D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-0.0386º</w:t>
            </w:r>
          </w:p>
        </w:tc>
      </w:tr>
    </w:tbl>
    <w:p w:rsidR="00BE00AC" w:rsidRDefault="00BE00AC" w:rsidP="00BE00AC">
      <w:pPr>
        <w:jc w:val="both"/>
        <w:rPr>
          <w:sz w:val="28"/>
          <w:szCs w:val="28"/>
        </w:rPr>
      </w:pP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* У спутников Блока I наклонение было 63º.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* * </w:t>
      </w:r>
      <w:r w:rsidRPr="00C44664">
        <w:rPr>
          <w:i/>
          <w:sz w:val="28"/>
          <w:szCs w:val="28"/>
        </w:rPr>
        <w:t>N</w:t>
      </w:r>
      <w:r>
        <w:rPr>
          <w:sz w:val="28"/>
          <w:szCs w:val="28"/>
        </w:rPr>
        <w:t xml:space="preserve"> – число витков за сутки;</w:t>
      </w:r>
    </w:p>
    <w:p w:rsidR="00BE00AC" w:rsidRDefault="00BE00AC" w:rsidP="00BE00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C44664">
        <w:rPr>
          <w:i/>
          <w:sz w:val="28"/>
          <w:szCs w:val="28"/>
        </w:rPr>
        <w:t>а</w:t>
      </w:r>
      <w:r w:rsidRPr="00C44664">
        <w:rPr>
          <w:i/>
          <w:sz w:val="28"/>
          <w:szCs w:val="28"/>
          <w:vertAlign w:val="subscript"/>
        </w:rPr>
        <w:t>Е</w:t>
      </w:r>
      <w:r>
        <w:rPr>
          <w:sz w:val="28"/>
          <w:szCs w:val="28"/>
        </w:rPr>
        <w:t xml:space="preserve"> – экваториальный радиус Земли;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C44664">
        <w:rPr>
          <w:i/>
          <w:sz w:val="28"/>
          <w:szCs w:val="28"/>
        </w:rPr>
        <w:t>С</w:t>
      </w:r>
      <w:r w:rsidRPr="00C44664">
        <w:rPr>
          <w:i/>
          <w:sz w:val="28"/>
          <w:szCs w:val="28"/>
          <w:vertAlign w:val="subscript"/>
        </w:rPr>
        <w:t>20</w:t>
      </w:r>
      <w:r>
        <w:rPr>
          <w:sz w:val="28"/>
          <w:szCs w:val="28"/>
        </w:rPr>
        <w:t xml:space="preserve"> – коэффициент второй зональной гармоники разложения геопотенциала в ряд по сферическим функциям;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</w:t>
      </w:r>
      <w:r w:rsidRPr="00C44664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– большая полуось орбиты.</w:t>
      </w:r>
    </w:p>
    <w:p w:rsidR="00BE00AC" w:rsidRDefault="00BE00AC" w:rsidP="00BE00AC">
      <w:pPr>
        <w:jc w:val="both"/>
        <w:rPr>
          <w:sz w:val="28"/>
          <w:szCs w:val="28"/>
        </w:rPr>
      </w:pP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определения сферического радиуса зоны видимости со станции используется формула (рисунок 3.4):</w:t>
      </w:r>
    </w:p>
    <w:p w:rsidR="00BE00AC" w:rsidRPr="007B2504" w:rsidRDefault="00BE00AC" w:rsidP="00BE00AC">
      <w:pPr>
        <w:jc w:val="center"/>
        <w:rPr>
          <w:sz w:val="28"/>
          <w:szCs w:val="28"/>
        </w:rPr>
      </w:pPr>
      <w:r w:rsidRPr="007B2504">
        <w:rPr>
          <w:noProof/>
          <w:sz w:val="28"/>
          <w:szCs w:val="28"/>
        </w:rPr>
        <w:lastRenderedPageBreak/>
        <w:drawing>
          <wp:inline distT="0" distB="0" distL="0" distR="0">
            <wp:extent cx="3238500" cy="2506980"/>
            <wp:effectExtent l="0" t="0" r="0" b="7620"/>
            <wp:docPr id="3" name="Рисунок 3" descr="сканирование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сканирование000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0AC" w:rsidRDefault="00BE00AC" w:rsidP="00BE00AC">
      <w:pPr>
        <w:jc w:val="both"/>
        <w:rPr>
          <w:sz w:val="28"/>
          <w:szCs w:val="28"/>
        </w:rPr>
      </w:pPr>
    </w:p>
    <w:p w:rsidR="00BE00AC" w:rsidRDefault="00BE00AC" w:rsidP="00BE00AC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3.4 – Зона видимости с пункта</w:t>
      </w:r>
    </w:p>
    <w:p w:rsidR="00BE00AC" w:rsidRDefault="00BE00AC" w:rsidP="00BE00AC">
      <w:pPr>
        <w:jc w:val="both"/>
        <w:rPr>
          <w:sz w:val="28"/>
          <w:szCs w:val="28"/>
        </w:rPr>
      </w:pPr>
    </w:p>
    <w:p w:rsidR="00BE00AC" w:rsidRDefault="00BE00AC" w:rsidP="00BE00AC">
      <w:pPr>
        <w:jc w:val="both"/>
        <w:rPr>
          <w:sz w:val="28"/>
          <w:szCs w:val="28"/>
        </w:rPr>
      </w:pPr>
    </w:p>
    <w:p w:rsidR="00BE00AC" w:rsidRDefault="00BE00AC" w:rsidP="00BE00A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321E77">
        <w:rPr>
          <w:position w:val="-24"/>
          <w:sz w:val="28"/>
          <w:szCs w:val="28"/>
        </w:rPr>
        <w:object w:dxaOrig="2659" w:dyaOrig="639">
          <v:shape id="_x0000_i1033" type="#_x0000_t75" style="width:133.2pt;height:31.8pt" o:ole="">
            <v:imagedata r:id="rId18" o:title=""/>
          </v:shape>
          <o:OLEObject Type="Embed" ProgID="Equation.3" ShapeID="_x0000_i1033" DrawAspect="Content" ObjectID="_1694092987" r:id="rId19"/>
        </w:object>
      </w:r>
      <w:r>
        <w:rPr>
          <w:sz w:val="28"/>
          <w:szCs w:val="28"/>
        </w:rPr>
        <w:t xml:space="preserve">                                            (3.1)</w:t>
      </w:r>
    </w:p>
    <w:p w:rsidR="00BE00AC" w:rsidRDefault="00BE00AC" w:rsidP="00BE00AC">
      <w:pPr>
        <w:jc w:val="center"/>
        <w:rPr>
          <w:sz w:val="28"/>
          <w:szCs w:val="28"/>
        </w:rPr>
      </w:pP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где R – радиус Земли;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а – радиус (большая полуось);</w:t>
      </w: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а</w:t>
      </w:r>
      <w:r>
        <w:rPr>
          <w:sz w:val="28"/>
          <w:szCs w:val="28"/>
          <w:vertAlign w:val="subscript"/>
        </w:rPr>
        <w:t>min</w:t>
      </w:r>
      <w:r>
        <w:rPr>
          <w:sz w:val="28"/>
          <w:szCs w:val="28"/>
        </w:rPr>
        <w:t xml:space="preserve"> – угол отсечки по высоте или маска высоты.</w:t>
      </w: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  <w:r>
        <w:rPr>
          <w:sz w:val="28"/>
          <w:szCs w:val="28"/>
        </w:rPr>
        <w:t>Величина угла β среднее движение спутника n определяют продолжительность ∆t пребывания спутника в зоне видимости. В случае зенитного прохождения спутника</w:t>
      </w: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Pr="0078119F">
        <w:rPr>
          <w:position w:val="-24"/>
          <w:sz w:val="28"/>
          <w:szCs w:val="28"/>
        </w:rPr>
        <w:object w:dxaOrig="900" w:dyaOrig="620">
          <v:shape id="_x0000_i1034" type="#_x0000_t75" style="width:45pt;height:31.2pt" o:ole="">
            <v:imagedata r:id="rId20" o:title=""/>
          </v:shape>
          <o:OLEObject Type="Embed" ProgID="Equation.3" ShapeID="_x0000_i1034" DrawAspect="Content" ObjectID="_1694092988" r:id="rId21"/>
        </w:object>
      </w:r>
      <w:r>
        <w:rPr>
          <w:sz w:val="28"/>
          <w:szCs w:val="28"/>
        </w:rPr>
        <w:t>.                                                         (3.2)</w:t>
      </w: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Угол ζ, который определяет сферический радиус наблюдаемой со спутника части земной поверхности, называют зоной видимости со спутника (рисунок </w:t>
      </w:r>
      <w:r w:rsidRPr="00626713">
        <w:rPr>
          <w:sz w:val="28"/>
          <w:szCs w:val="28"/>
          <w:highlight w:val="magenta"/>
        </w:rPr>
        <w:t>4.5</w:t>
      </w:r>
      <w:r>
        <w:rPr>
          <w:sz w:val="28"/>
          <w:szCs w:val="28"/>
        </w:rPr>
        <w:t xml:space="preserve"> 3.5): </w:t>
      </w:r>
    </w:p>
    <w:p w:rsidR="00BE00AC" w:rsidRPr="00244EA2" w:rsidRDefault="00BE00AC" w:rsidP="00BE00AC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  <w:r w:rsidRPr="00244EA2">
        <w:rPr>
          <w:noProof/>
          <w:sz w:val="28"/>
          <w:szCs w:val="28"/>
        </w:rPr>
        <w:drawing>
          <wp:inline distT="0" distB="0" distL="0" distR="0">
            <wp:extent cx="2971800" cy="2217420"/>
            <wp:effectExtent l="0" t="0" r="0" b="0"/>
            <wp:docPr id="2" name="Рисунок 2" descr="сканирование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сканирование000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lum bright="-6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Рисунок 3.5 – Зона видимости со спутника</w:t>
      </w: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636640">
        <w:rPr>
          <w:position w:val="-24"/>
          <w:sz w:val="28"/>
          <w:szCs w:val="28"/>
        </w:rPr>
        <w:object w:dxaOrig="1760" w:dyaOrig="639">
          <v:shape id="_x0000_i1036" type="#_x0000_t75" style="width:88.2pt;height:31.8pt" o:ole="">
            <v:imagedata r:id="rId23" o:title=""/>
          </v:shape>
          <o:OLEObject Type="Embed" ProgID="Equation.3" ShapeID="_x0000_i1036" DrawAspect="Content" ObjectID="_1694092989" r:id="rId24"/>
        </w:object>
      </w:r>
      <w:r>
        <w:rPr>
          <w:sz w:val="28"/>
          <w:szCs w:val="28"/>
        </w:rPr>
        <w:t>.                                                 (3.3)</w:t>
      </w: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Прецессия орбиты для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за сутки, вычисляемая как </w:t>
      </w: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C30CE7">
        <w:rPr>
          <w:position w:val="-30"/>
          <w:sz w:val="28"/>
          <w:szCs w:val="28"/>
        </w:rPr>
        <w:object w:dxaOrig="2480" w:dyaOrig="760">
          <v:shape id="_x0000_i1037" type="#_x0000_t75" style="width:124.2pt;height:37.8pt" o:ole="">
            <v:imagedata r:id="rId25" o:title=""/>
          </v:shape>
          <o:OLEObject Type="Embed" ProgID="Equation.3" ShapeID="_x0000_i1037" DrawAspect="Content" ObjectID="_1694092990" r:id="rId26"/>
        </w:object>
      </w:r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(3.4)</w:t>
      </w: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  <w:r>
        <w:rPr>
          <w:sz w:val="28"/>
          <w:szCs w:val="28"/>
        </w:rPr>
        <w:t>Равна -0.0386º, а период дрейфа орбиты Ρ</w:t>
      </w:r>
      <w:r w:rsidRPr="00A01C70">
        <w:rPr>
          <w:sz w:val="28"/>
          <w:szCs w:val="28"/>
          <w:vertAlign w:val="subscript"/>
        </w:rPr>
        <w:t>Ω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(период, за который линия узлов в пространстве поворачивается на 360º)</w:t>
      </w:r>
    </w:p>
    <w:p w:rsidR="00BE00AC" w:rsidRDefault="00BE00AC" w:rsidP="00BE00AC">
      <w:pPr>
        <w:tabs>
          <w:tab w:val="left" w:pos="720"/>
          <w:tab w:val="left" w:pos="900"/>
          <w:tab w:val="left" w:pos="1080"/>
        </w:tabs>
        <w:jc w:val="both"/>
        <w:rPr>
          <w:sz w:val="28"/>
          <w:szCs w:val="28"/>
        </w:rPr>
      </w:pPr>
    </w:p>
    <w:p w:rsidR="00BE00AC" w:rsidRPr="00A01C70" w:rsidRDefault="00BE00AC" w:rsidP="00BE00AC">
      <w:pPr>
        <w:tabs>
          <w:tab w:val="left" w:pos="720"/>
          <w:tab w:val="left" w:pos="900"/>
          <w:tab w:val="left" w:pos="10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r w:rsidRPr="00A01C70">
        <w:rPr>
          <w:position w:val="-24"/>
          <w:sz w:val="28"/>
          <w:szCs w:val="28"/>
        </w:rPr>
        <w:object w:dxaOrig="1100" w:dyaOrig="660">
          <v:shape id="_x0000_i1038" type="#_x0000_t75" style="width:55.2pt;height:33pt" o:ole="">
            <v:imagedata r:id="rId27" o:title=""/>
          </v:shape>
          <o:OLEObject Type="Embed" ProgID="Equation.3" ShapeID="_x0000_i1038" DrawAspect="Content" ObjectID="_1694092991" r:id="rId28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          (3.5)</w:t>
      </w:r>
    </w:p>
    <w:p w:rsidR="00BE00AC" w:rsidRDefault="00BE00AC" w:rsidP="00BE00AC">
      <w:pPr>
        <w:jc w:val="both"/>
        <w:rPr>
          <w:sz w:val="28"/>
          <w:szCs w:val="28"/>
        </w:rPr>
      </w:pP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составляет около 9 300 суток, или 25 лет. Изменение географической долготы восходящего узла за сутки определяет смещение трассы спутника на земной поверхности. Оно складывается из годичного и суточного вращений Земли и прецессии орбиты спутника. Влияние годичного вращения Земли за сутки составляет 0.986º. Суточное вращение Земли дает вклад, равный </w:t>
      </w:r>
      <w:r w:rsidRPr="00A01C70">
        <w:rPr>
          <w:position w:val="-10"/>
          <w:sz w:val="28"/>
          <w:szCs w:val="28"/>
        </w:rPr>
        <w:object w:dxaOrig="2439" w:dyaOrig="360">
          <v:shape id="_x0000_i1039" type="#_x0000_t75" style="width:121.8pt;height:18pt" o:ole="">
            <v:imagedata r:id="rId29" o:title=""/>
          </v:shape>
          <o:OLEObject Type="Embed" ProgID="Equation.3" ShapeID="_x0000_i1039" DrawAspect="Content" ObjectID="_1694092992" r:id="rId30"/>
        </w:object>
      </w:r>
      <w:r>
        <w:rPr>
          <w:sz w:val="28"/>
          <w:szCs w:val="28"/>
        </w:rPr>
        <w:t xml:space="preserve">, где </w:t>
      </w:r>
      <w:r w:rsidRPr="002D7BEE">
        <w:rPr>
          <w:position w:val="-10"/>
          <w:sz w:val="28"/>
          <w:szCs w:val="28"/>
        </w:rPr>
        <w:object w:dxaOrig="340" w:dyaOrig="340">
          <v:shape id="_x0000_i1040" type="#_x0000_t75" style="width:16.8pt;height:16.8pt" o:ole="">
            <v:imagedata r:id="rId31" o:title=""/>
          </v:shape>
          <o:OLEObject Type="Embed" ProgID="Equation.3" ShapeID="_x0000_i1040" DrawAspect="Content" ObjectID="_1694092993" r:id="rId32"/>
        </w:object>
      </w:r>
      <w:r>
        <w:rPr>
          <w:sz w:val="28"/>
          <w:szCs w:val="28"/>
        </w:rPr>
        <w:t xml:space="preserve"> - угловая скорость вращения Земли;                               </w:t>
      </w:r>
      <w:r w:rsidRPr="00284DF5">
        <w:rPr>
          <w:position w:val="-10"/>
          <w:sz w:val="28"/>
          <w:szCs w:val="28"/>
        </w:rPr>
        <w:object w:dxaOrig="240" w:dyaOrig="260">
          <v:shape id="_x0000_i1041" type="#_x0000_t75" style="width:12pt;height:13.2pt" o:ole="">
            <v:imagedata r:id="rId33" o:title=""/>
          </v:shape>
          <o:OLEObject Type="Embed" ProgID="Equation.3" ShapeID="_x0000_i1041" DrawAspect="Content" ObjectID="_1694092994" r:id="rId34"/>
        </w:object>
      </w:r>
      <w:r>
        <w:rPr>
          <w:sz w:val="28"/>
          <w:szCs w:val="28"/>
        </w:rPr>
        <w:t xml:space="preserve">- коэффициент перехода от звёздного времени к среднему солнечному времени. Для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этот член дает -1.015º, а сумма трех членов оказывается равной примерно -0.067º. Поэтому считается, что смещение трассы у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незначительное, и, следовательно, спутники проходят на следующие сутки на 4 минуты раньше почти по тому же месту небесной сферы.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полном созвездии почти все пользователи при беспрепятственном обзоре неба имеют для наблюдений минимум четыре спутника на высоте более 15º. Более вероятно, что пользователь будет видеть 6-8 спутников.</w:t>
      </w:r>
    </w:p>
    <w:p w:rsidR="00BE00AC" w:rsidRDefault="00BE00AC" w:rsidP="00BE00AC">
      <w:pPr>
        <w:jc w:val="both"/>
        <w:rPr>
          <w:sz w:val="28"/>
          <w:szCs w:val="28"/>
        </w:rPr>
      </w:pPr>
    </w:p>
    <w:p w:rsidR="00BE00AC" w:rsidRDefault="00BE00AC" w:rsidP="00BE00A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3.2.2 Контрольный сегмент </w:t>
      </w:r>
      <w:r>
        <w:rPr>
          <w:sz w:val="28"/>
          <w:szCs w:val="28"/>
          <w:lang w:val="en-US"/>
        </w:rPr>
        <w:t>GPS</w:t>
      </w:r>
    </w:p>
    <w:p w:rsidR="00BE00AC" w:rsidRDefault="00BE00AC" w:rsidP="00BE00AC">
      <w:pPr>
        <w:jc w:val="center"/>
        <w:rPr>
          <w:sz w:val="28"/>
          <w:szCs w:val="28"/>
        </w:rPr>
      </w:pP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Сердцем Контрольного сегмента является Главная станция управления, находящегося на военно-воздушной базе Шривер (часто называемой Фалкон</w:t>
      </w:r>
      <w:proofErr w:type="gramStart"/>
      <w:r>
        <w:rPr>
          <w:sz w:val="28"/>
          <w:szCs w:val="28"/>
        </w:rPr>
        <w:t>),  около</w:t>
      </w:r>
      <w:proofErr w:type="gramEnd"/>
      <w:r>
        <w:rPr>
          <w:sz w:val="28"/>
          <w:szCs w:val="28"/>
        </w:rPr>
        <w:t xml:space="preserve"> г. Колорадо Спрингс (шт. Колорадо, США). Главная станция управляет системой и обеспечивает командные и контрольные функции. Главными функциями Контрольного сегмента являются: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-отслеживание орбит спутников;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отслеживание и поддержка рабочего состояния спутников;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формирование системного времени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Timе;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- расчет эфемерид спутников и параметров часов;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обновление спутниковых навигационных сообщений;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осуществление небольших манёвров спутников для поддержания орбит (по мере необходимости).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Сигналы спутников непрерывно отслеживаются со станций слежения, широко распределенных на земном шаре по долготе: о. Вознесения, о. Диего Гарсия, атолл Кваджалейн, Гавайи и Колорадо Спрингс (рисунок 3.6). С </w:t>
      </w:r>
      <w:smartTag w:uri="urn:schemas-microsoft-com:office:smarttags" w:element="metricconverter">
        <w:smartTagPr>
          <w:attr w:name="ProductID" w:val="2001 г"/>
        </w:smartTagPr>
        <w:r>
          <w:rPr>
            <w:sz w:val="28"/>
            <w:szCs w:val="28"/>
          </w:rPr>
          <w:t>2001 г</w:t>
        </w:r>
      </w:smartTag>
      <w:r>
        <w:rPr>
          <w:sz w:val="28"/>
          <w:szCs w:val="28"/>
        </w:rPr>
        <w:t xml:space="preserve">. к этому списку нужно добавить м. Канаверал. Оборудование контрольных станций состоит преимущественно из </w:t>
      </w:r>
      <w:r>
        <w:rPr>
          <w:sz w:val="28"/>
          <w:szCs w:val="28"/>
          <w:lang w:val="en-US"/>
        </w:rPr>
        <w:t>GPS</w:t>
      </w:r>
      <w:r w:rsidRPr="00F41384">
        <w:rPr>
          <w:sz w:val="28"/>
          <w:szCs w:val="28"/>
        </w:rPr>
        <w:t xml:space="preserve"> </w:t>
      </w:r>
      <w:r>
        <w:rPr>
          <w:sz w:val="28"/>
          <w:szCs w:val="28"/>
        </w:rPr>
        <w:t>приемников с цезиевыми стандартами частоты, метеорологическими инструментами и связанным оборудованием для передачи измерений на Главную станцию управления через наземные и спутниковые линии связи.</w:t>
      </w:r>
    </w:p>
    <w:p w:rsidR="00BE00AC" w:rsidRDefault="00BE00AC" w:rsidP="00BE00AC">
      <w:pPr>
        <w:jc w:val="both"/>
        <w:rPr>
          <w:sz w:val="28"/>
          <w:szCs w:val="28"/>
        </w:rPr>
      </w:pPr>
    </w:p>
    <w:p w:rsidR="00BE00AC" w:rsidRPr="00757767" w:rsidRDefault="00BE00AC" w:rsidP="00BE00AC">
      <w:pPr>
        <w:jc w:val="center"/>
        <w:rPr>
          <w:sz w:val="28"/>
          <w:szCs w:val="28"/>
        </w:rPr>
      </w:pPr>
      <w:r w:rsidRPr="00757767">
        <w:rPr>
          <w:noProof/>
          <w:sz w:val="28"/>
          <w:szCs w:val="28"/>
        </w:rPr>
        <w:drawing>
          <wp:inline distT="0" distB="0" distL="0" distR="0">
            <wp:extent cx="5067300" cy="3238500"/>
            <wp:effectExtent l="0" t="0" r="0" b="0"/>
            <wp:docPr id="1" name="Рисунок 1" descr="сканирование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сканирование000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lum bright="12000" contrast="-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0AC" w:rsidRDefault="00BE00AC" w:rsidP="00BE00AC">
      <w:pPr>
        <w:jc w:val="both"/>
        <w:rPr>
          <w:sz w:val="28"/>
          <w:szCs w:val="28"/>
        </w:rPr>
      </w:pPr>
    </w:p>
    <w:p w:rsidR="00BE00AC" w:rsidRDefault="00BE00AC" w:rsidP="00BE00A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3.6 – Расположение станций контрольного сегмента </w:t>
      </w:r>
      <w:r>
        <w:rPr>
          <w:sz w:val="28"/>
          <w:szCs w:val="28"/>
          <w:lang w:val="en-US"/>
        </w:rPr>
        <w:t>GPS</w:t>
      </w:r>
    </w:p>
    <w:p w:rsidR="00BE00AC" w:rsidRDefault="00BE00AC" w:rsidP="00BE00AC">
      <w:pPr>
        <w:jc w:val="both"/>
        <w:rPr>
          <w:sz w:val="28"/>
          <w:szCs w:val="28"/>
        </w:rPr>
      </w:pP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Наземные антенны для связи со спутниками через радиосвязь S-диапазона размещаются рядом со станциями слежения на о. Вознесения, м. Канаверал, о. Диего Гарсия и атолле Кваджалейн. Эти 10-метровые параболические антенны дистанционно управляются с Главной станции управления, чтобы получать телеметрические данные со спутников о состоянии их подсистем, для засылки команд и загрузки данных для навигационных сообщений, затем транслируемых спутниками. Автоматическая станция слежения контрольной сети ВВС в Шривере также может работать как наземная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антенна для выдачи команд и проведения контроля.  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Данные со станцией слежения используются для определения и предсказания орбит спутников и поправок их часов. Время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Timе и передачей параметров модели в навигационном сообщении спутника. </w:t>
      </w:r>
      <w:r>
        <w:rPr>
          <w:sz w:val="28"/>
          <w:szCs w:val="28"/>
        </w:rPr>
        <w:lastRenderedPageBreak/>
        <w:t>Эфемериды и параметры часов, транслируемые спутниками, вычисляются на Главной станции управления и загружаются на спутники через наземные антенны.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Транслируемое спутниками навигационное сообщение обычно загружается минимум один раз в сутки. Возможность измерять дальности между спутниками Блоков IIR и IIF позволит спутникам автоматически обновлять их навигационные сообщения и работать продолжительное время без контакта с Контрольным сегментом (спутники Блока IIA могут работать без контакта с Контрольным сегментом до 180 суток, уточняя свои орбиты на основе измерений «спутник – спутник»). </w:t>
      </w:r>
      <w:proofErr w:type="gramStart"/>
      <w:r>
        <w:rPr>
          <w:sz w:val="28"/>
          <w:szCs w:val="28"/>
        </w:rPr>
        <w:t>Когда  действует</w:t>
      </w:r>
      <w:proofErr w:type="gramEnd"/>
      <w:r>
        <w:rPr>
          <w:sz w:val="28"/>
          <w:szCs w:val="28"/>
        </w:rPr>
        <w:t xml:space="preserve"> функция </w:t>
      </w:r>
      <w:r>
        <w:rPr>
          <w:sz w:val="28"/>
          <w:szCs w:val="28"/>
          <w:lang w:val="en-US"/>
        </w:rPr>
        <w:t>Autonav</w:t>
      </w:r>
      <w:r>
        <w:rPr>
          <w:sz w:val="28"/>
          <w:szCs w:val="28"/>
        </w:rPr>
        <w:t xml:space="preserve">, Контрольный сегмент продолжает отслеживать сигналы, выявляя недопустимые условия для параметров навигационного сообщения и состовляя расписание для новых загрузок, если они потребуются </w:t>
      </w:r>
      <w:r w:rsidRPr="00CC4D89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Misra</w:t>
      </w:r>
      <w:r w:rsidRPr="00CC4D89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 w:rsidRPr="00CC4D89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Enge</w:t>
      </w:r>
      <w:r w:rsidRPr="00CC4D89">
        <w:rPr>
          <w:sz w:val="28"/>
          <w:szCs w:val="28"/>
        </w:rPr>
        <w:t>, 2001]</w:t>
      </w:r>
      <w:r>
        <w:rPr>
          <w:sz w:val="28"/>
          <w:szCs w:val="28"/>
        </w:rPr>
        <w:t>.</w:t>
      </w:r>
    </w:p>
    <w:p w:rsidR="00BE00AC" w:rsidRDefault="00BE00AC" w:rsidP="00BE00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Важная функция Контрольного сегмента – поддержка системы отсчета </w:t>
      </w:r>
      <w:r>
        <w:rPr>
          <w:sz w:val="28"/>
          <w:szCs w:val="28"/>
          <w:lang w:val="en-US"/>
        </w:rPr>
        <w:t>WGS</w:t>
      </w:r>
      <w:r w:rsidRPr="0046600E">
        <w:rPr>
          <w:sz w:val="28"/>
          <w:szCs w:val="28"/>
        </w:rPr>
        <w:t>-84</w:t>
      </w:r>
      <w:r>
        <w:rPr>
          <w:sz w:val="28"/>
          <w:szCs w:val="28"/>
        </w:rPr>
        <w:t xml:space="preserve">. Эта система отсчета доступна пользователями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через спутниковые эфемериды, вычисленные по данным, собранным на станциях мониторинга. Если какая-либо организация пожелает вычислить свои спутниковые орбиты (например, из пост-обработки данных наблюдений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собранных со своей собственной наземной сети приемников), то полученная система отсчета будет определяться системой координат станции наблюдения в этой системе. Это </w:t>
      </w:r>
      <w:proofErr w:type="gramStart"/>
      <w:r>
        <w:rPr>
          <w:sz w:val="28"/>
          <w:szCs w:val="28"/>
        </w:rPr>
        <w:t>может  быть</w:t>
      </w:r>
      <w:proofErr w:type="gramEnd"/>
      <w:r>
        <w:rPr>
          <w:sz w:val="28"/>
          <w:szCs w:val="28"/>
        </w:rPr>
        <w:t xml:space="preserve"> и не </w:t>
      </w:r>
      <w:r>
        <w:rPr>
          <w:sz w:val="28"/>
          <w:szCs w:val="28"/>
          <w:lang w:val="en-US"/>
        </w:rPr>
        <w:t>WGS</w:t>
      </w:r>
      <w:r w:rsidRPr="0046600E">
        <w:rPr>
          <w:sz w:val="28"/>
          <w:szCs w:val="28"/>
        </w:rPr>
        <w:t>-84</w:t>
      </w:r>
      <w:r>
        <w:rPr>
          <w:sz w:val="28"/>
          <w:szCs w:val="28"/>
        </w:rPr>
        <w:t>, но обычно очень близкая к ней система отсчета.</w:t>
      </w:r>
    </w:p>
    <w:p w:rsidR="001D4B7E" w:rsidRDefault="00BE00AC">
      <w:bookmarkStart w:id="0" w:name="_GoBack"/>
      <w:bookmarkEnd w:id="0"/>
    </w:p>
    <w:sectPr w:rsidR="001D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0AC"/>
    <w:rsid w:val="002C3DB1"/>
    <w:rsid w:val="003C4A61"/>
    <w:rsid w:val="00BE0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5A5429-FF43-46B5-9785-65E4BB8A8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E00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00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BE00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vcen.uscg.gov" TargetMode="External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26" Type="http://schemas.openxmlformats.org/officeDocument/2006/relationships/oleObject" Target="embeddings/oleObject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6.bin"/><Relationship Id="rId34" Type="http://schemas.openxmlformats.org/officeDocument/2006/relationships/oleObject" Target="embeddings/oleObject12.bin"/><Relationship Id="rId7" Type="http://schemas.openxmlformats.org/officeDocument/2006/relationships/hyperlink" Target="http://www.craymer.com" TargetMode="External"/><Relationship Id="rId12" Type="http://schemas.openxmlformats.org/officeDocument/2006/relationships/oleObject" Target="embeddings/oleObject2.bin"/><Relationship Id="rId17" Type="http://schemas.openxmlformats.org/officeDocument/2006/relationships/image" Target="media/image8.jpeg"/><Relationship Id="rId25" Type="http://schemas.openxmlformats.org/officeDocument/2006/relationships/image" Target="media/image13.wmf"/><Relationship Id="rId33" Type="http://schemas.openxmlformats.org/officeDocument/2006/relationships/image" Target="media/image17.wmf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20" Type="http://schemas.openxmlformats.org/officeDocument/2006/relationships/image" Target="media/image10.wmf"/><Relationship Id="rId29" Type="http://schemas.openxmlformats.org/officeDocument/2006/relationships/image" Target="media/image15.wm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5.wmf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7.wmf"/><Relationship Id="rId23" Type="http://schemas.openxmlformats.org/officeDocument/2006/relationships/image" Target="media/image12.wmf"/><Relationship Id="rId28" Type="http://schemas.openxmlformats.org/officeDocument/2006/relationships/oleObject" Target="embeddings/oleObject9.bin"/><Relationship Id="rId36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31" Type="http://schemas.openxmlformats.org/officeDocument/2006/relationships/image" Target="media/image16.wmf"/><Relationship Id="rId4" Type="http://schemas.openxmlformats.org/officeDocument/2006/relationships/image" Target="media/image1.jpeg"/><Relationship Id="rId9" Type="http://schemas.openxmlformats.org/officeDocument/2006/relationships/image" Target="media/image4.wmf"/><Relationship Id="rId14" Type="http://schemas.openxmlformats.org/officeDocument/2006/relationships/oleObject" Target="embeddings/oleObject3.bin"/><Relationship Id="rId22" Type="http://schemas.openxmlformats.org/officeDocument/2006/relationships/image" Target="media/image11.jpeg"/><Relationship Id="rId27" Type="http://schemas.openxmlformats.org/officeDocument/2006/relationships/image" Target="media/image14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2243</Words>
  <Characters>12786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1</cp:revision>
  <dcterms:created xsi:type="dcterms:W3CDTF">2021-09-25T10:36:00Z</dcterms:created>
  <dcterms:modified xsi:type="dcterms:W3CDTF">2021-09-25T10:37:00Z</dcterms:modified>
</cp:coreProperties>
</file>